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JTAPI/350/2024 vom 15. April 2024</w:t>
      </w:r>
    </w:p>
    <w:p>
      <w:r>
        <w:t>GE Cour de justice, 2024-04-15, FR</w:t>
      </w:r>
    </w:p>
    <w:p>
      <w:r>
        <w:rPr>
          <w:b/>
        </w:rPr>
        <w:t xml:space="preserve">Quelle: </w:t>
      </w:r>
      <w:r>
        <w:t>https://mcp.opencaselaw.ch/entscheid/ge_gerichte_JTAPI_350_2024</w:t>
      </w:r>
    </w:p>
    <w:p>
      <w:r>
        <w:t>FR: GE_GERICHTE JTAPI/350/2024 du 15 avril 2024</w:t>
      </w:r>
    </w:p>
    <w:p>
      <w:r>
        <w:t>IT: GE_GERICHTE JTAPI/350/2024 del 15 aprile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dans les formes prescrites. Transmis d’office au tribunal par l’AFC-GE, il y a lieu de considérer qu’il a été déposé devant la juridiction compétente au sens des art. 49 LPFisc et 140 LIFD. Sous les aspects qui précèdent, le recours est recevable. La question du respect du délai devra encore être examinée. Années 2012 à 2015</w:t>
      </w:r>
    </w:p>
    <w:p>
      <w:r>
        <w:rPr>
          <w:b/>
        </w:rPr>
        <w:t>E. 3</w:t>
      </w:r>
    </w:p>
    <w:p>
      <w:r>
        <w:t>Aux termes des art. 140 al. 1 LIFD et 49 al. 1 LPFisc, le contribuable peut s'opposer à la décision sur réclamation de l'autorité de taxation en s'adressant au tribunal dans les 30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133 al. 1 LIFD ; art. 41 al. 1 LPFisc).</w:t>
      </w:r>
    </w:p>
    <w:p>
      <w:r>
        <w:rPr>
          <w:b/>
        </w:rPr>
        <w:t>E. 4</w:t>
      </w:r>
    </w:p>
    <w:p>
      <w:r>
        <w:t>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(ATA/599/2023 du 6 juin 2023 consid. 3.2 et les références citées).</w:t>
      </w:r>
    </w:p>
    <w:p>
      <w:r>
        <w:rPr>
          <w:b/>
        </w:rPr>
        <w:t>E. 5</w:t>
      </w:r>
    </w:p>
    <w:p>
      <w:r>
        <w:t>En l’occurrence, le contribuable a recouru le 8 septembre 2023 à l’encontre de la décision sur réclamation du 14 février précédent, qui concernait notamment les années 2012 à 2015. Il a ainsi saisi le tribunal bien au-delà du délai légal de trente jours. Par ailleurs, il ne se prévaut d’aucun empêchement en raison duquel il n’aurait pas été en mesure de déposer son acte de recours dans les temps prescrits. En conséquence, le recours doit être déclaré irrecevable en tant qu’il porte sur ces périodes fiscales. Années 2016 et 2017</w:t>
      </w:r>
    </w:p>
    <w:p>
      <w:r>
        <w:rPr>
          <w:b/>
        </w:rPr>
        <w:t>E. 6</w:t>
      </w:r>
    </w:p>
    <w:p>
      <w:r>
        <w:t>Dans la mesure où il concerne les années 2016 et 2017, le présent recours a été déposé en temps utile.</w:t>
      </w:r>
    </w:p>
    <w:p>
      <w:r>
        <w:t>- 4/5 - A/3212/2023</w:t>
      </w:r>
    </w:p>
    <w:p>
      <w:r>
        <w:rPr>
          <w:b/>
        </w:rPr>
        <w:t>E. 7</w:t>
      </w:r>
    </w:p>
    <w:p>
      <w:r>
        <w:t>Le contribuable conteste l’imposition de la rente que l’AFC-GE a ajoutée à son revenu, faisant valoir qu’il a cessé de la percevoir à la fin du mois de septembre 2002. À l’appui de sa conclusion, il se fonde sur une attestation établie par B______.</w:t>
      </w:r>
    </w:p>
    <w:p>
      <w:r>
        <w:rPr>
          <w:b/>
        </w:rPr>
        <w:t>E. 8</w:t>
      </w:r>
    </w:p>
    <w:p>
      <w:r>
        <w:t>Selon la jurisprudence (arrêt du Tribunal fédéral 2C_15/2021 du 27 mai 2021 consid. 5.1 et les références citées),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précisément, font l’objet du rappel d’impôt.</w:t>
      </w:r>
    </w:p>
    <w:p>
      <w:r>
        <w:rPr>
          <w:b/>
        </w:rPr>
        <w:t>E. 9</w:t>
      </w:r>
    </w:p>
    <w:p>
      <w:r>
        <w:t>En l’espèce, la décision attaquée a été rendue dans le cadre d’un rappel d’impôt, lequel se rapporte à des frais privés et au chiffre d’affaires de l’entreprise individuelle du recourant, que celui-ci n’aurait pas déclarés. Puisque l’imposition de la rente ne présente aucun lien avec cette procédure, le contribuable n’est pas fondé à la contester, conformément à la jurisprudence exposée ci-dessus. Partant, le grief doit être rejeté.</w:t>
      </w:r>
    </w:p>
    <w:p>
      <w:r>
        <w:rPr>
          <w:b/>
        </w:rPr>
        <w:t>E. 10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- 5/5 - A/3212/2023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