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JTAPI/350/2022 vom 7. April 2022</w:t>
      </w:r>
    </w:p>
    <w:p>
      <w:r>
        <w:t>GE Cour de justice, 2022-04-07, FR</w:t>
      </w:r>
    </w:p>
    <w:p>
      <w:r>
        <w:rPr>
          <w:b/>
        </w:rPr>
        <w:t xml:space="preserve">Quelle: </w:t>
      </w:r>
      <w:r>
        <w:t>https://mcp.opencaselaw.ch/entscheid/ge_gerichte_JTAPI_350_2022</w:t>
      </w:r>
    </w:p>
    <w:p>
      <w:r>
        <w:t>FR: GE_GERICHTE JTAPI/350/2022 du 7 avril 2022</w:t>
      </w:r>
    </w:p>
    <w:p>
      <w:r>
        <w:t>IT: GE_GERICHTE JTAPI/350/2022 del 7 aprile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générale sur les zones de développement du 29 juin 1957 (LGZD - L 1 35) (art. 115 et 116 al. 1 de la loi sur l’organisation judiciaire du 26 septembre 2010 - LOJ - E 2 05 ; art. 7 LGZD ; art. 23 RGZD ; art. 145 al. 1 de la loi sur les constructions et les installations diverses du 14 avril 1988 - LCI - L 5 05).</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Les recourantes ont sollicité la suspension de la procédure en raison du décès de M. C______, le 23 février 2021.</w:t>
      </w:r>
    </w:p>
    <w:p>
      <w:r>
        <w:rPr>
          <w:b/>
        </w:rPr>
        <w:t>E. 4</w:t>
      </w:r>
    </w:p>
    <w:p>
      <w:r>
        <w:t>Selon l'art. 78 LPA, l’instruction du recours est suspendue par : a) la requête simultanée de toutes les parties ; b) le décès d’une partie ; c) la faillite d’une partie ; d) sa mise sous curatelle de portée générale ; e) la cessation des fonctions en vertu desquelles l’une des parties agissait ; f) le décès, la démission, la suspension ou la destitution de l’avocat ou du mandataire qualifié constitué.</w:t>
      </w:r>
    </w:p>
    <w:p>
      <w:r>
        <w:rPr>
          <w:b/>
        </w:rPr>
        <w:t>E. 5</w:t>
      </w:r>
    </w:p>
    <w:p>
      <w:r>
        <w:t>En l'espèce, aucun motif de suspension au sens de la disposition précitée n'est réalisé dès lors que l'autorité intimée s'est opposée à la suspension de la procédure d'une part et que d'autre part, Mme D______, administratrice de A______ disposait de la signature individuelle lui permettant d'engager valablement la recourante au moment du décès de feu M. C______.</w:t>
      </w:r>
    </w:p>
    <w:p>
      <w:r>
        <w:rPr>
          <w:b/>
        </w:rPr>
        <w:t>E. 6</w:t>
      </w:r>
    </w:p>
    <w:p>
      <w:r>
        <w:t>Les recourantes concluent préalablement à l'audition de MM. C______, F______, G______ et L______, ainsi qu'à la production, par le département, de l'ensemble des directives administratives appliquées.</w:t>
      </w:r>
    </w:p>
    <w:p>
      <w:r>
        <w:t>- 16/26 - A/1989/2019</w:t>
      </w:r>
    </w:p>
    <w:p>
      <w:r>
        <w:rPr>
          <w:b/>
        </w:rPr>
        <w:t>E. 7</w:t>
      </w:r>
    </w:p>
    <w:p>
      <w:r>
        <w:t>Tel qu'il est garanti par l'art. 29 al. 2 de la Constitution fédérale de la Confédération suisse du 18 avril 1999 (Cst. - RS 101), le droit d'être entendu comprend notamment pour le justiciable le droit de faire administrer des preuves portant sur des faits pertinents. Ce droit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143 V 71 consid. 4.1).</w:t>
      </w:r>
    </w:p>
    <w:p>
      <w:r>
        <w:rPr>
          <w:b/>
        </w:rPr>
        <w:t>E. 8</w:t>
      </w:r>
    </w:p>
    <w:p>
      <w:r>
        <w:t>a. En l'occurrence, il ne se justifie pas de faire droit à la requête des recourantes, l'audition de MM. F______, G______ et L______n'étant pas nécessaire à la résolution du litige, étant relevé d'une part, que le grief lié au montant de la péréquation a définitivement été tranché par le Tribunal fédéral et d'autre part, que l'audition de ces personnes n'apporterait pas d'éléments différents de ceux déjà exposés dans les écritures des recourantes, compte tenu en particulier de leurs liens avec ces dernières et de leur position au sein de celles-ci. b. Par ailleurs, s'agissant des directives administratives dont les recourantes demandent la production, l'OCLPF a eu l'occasion d'expliquer qu'elles étaient accessibles sur son site Internet (www.ge.ch/logements-controles-documentation- professionnels/pratiques-administratives-relatives-aux-logements-controles, consulté le 15 février 2022). Par ailleurs, la pratique de cette autorité ressort en particulier de la jurisprudence de la chambre administrative, librement accessible (ATA/190/2018 du 27 février 2018 consid. 2c et les références citées), et a également fait l'objet d'une analyse par le Tribunal fédéral, notamment dans un arrêt du 4 juillet 2018 (1C_370/2017 consid. 2, publié in SJ 2019 I p. 88). En conséquence, les réquisitions de preuves demandées par les recourantes seront écartées.</w:t>
      </w:r>
    </w:p>
    <w:p>
      <w:r>
        <w:rPr>
          <w:b/>
        </w:rPr>
        <w:t>E. 9</w:t>
      </w:r>
    </w:p>
    <w:p>
      <w:r>
        <w:t>Selon l'art. 61 al. 1 LPA, le recours peut être formé pour violation du droit, y compris l'excès et l'abus du pouvoir d'appréciation (let. a) ou pour constatation inexacte ou incomplète des faits pertinents (let. b).</w:t>
      </w:r>
    </w:p>
    <w:p>
      <w:r>
        <w:t>Le juge doit vérifier si l'administration n'a pas abusé de son pouvoir d'appréciation. Dans ce cadre, le principe de proportionnalité prend une place majeure. Il impose une pesée des intérêts militant pour et contre la mesure en cause (Thierry TANQUEREL, La pesée des intérêts vue par le juge administratif in La pesée globale des intérêts, Droit de l'environnement et de l'aménagement du territoire, 1996, pp. 189 ss, not. 192 s).</w:t>
      </w:r>
    </w:p>
    <w:p>
      <w:r>
        <w:t>En revanche, les juridictions administratives n'ont pas compétence pour apprécier l'opportunité de la décision attaquée, sauf exception prévue par la loi, non réalisée en l'espèce (art. 61 al. 2 LPA).</w:t>
      </w:r>
    </w:p>
    <w:p>
      <w:r>
        <w:t>- 17/26 - A/1989/2019</w:t>
      </w:r>
    </w:p>
    <w:p>
      <w:r>
        <w:rPr>
          <w:b/>
        </w:rPr>
        <w:t>E. 10</w:t>
      </w:r>
    </w:p>
    <w:p>
      <w:r>
        <w:t>L'instance de recours fait preuve de retenue lorsqu'il s'agit d'examiner la façon dont sont traités par une administration spécialisée, en fonction de la loi, voire des directives existantes, certains frais d'exploitation courants ou extraordinaires ou dont elle établit le budget, voire l'état locatif autorisé d'un immeuble. L'OCLPF est un service spécialisé chargé d'examiner les dossiers relatifs à tous les immeubles subventionnés ou contrôlés par l'État et, en particulier, d'en mesurer tous les aspects financiers et techniques. Cette mission lui offre un champ de comparaison étendu et doit en principe l'amener à établir une pratique uniforme. La juridiction ne saurait de ce fait substituer son appréciation à celle d'un service spécialisé en ce qui concerne les questions techniques. Son contrôle se limite à l'abus ou à l'excès du pouvoir d'appréciation (ATA/238/2020 du 3 mars 2020, consid. 3a ; ATA/585/2017 précité ; ATA/879/2010 précité consid. 7 et les références citées).</w:t>
      </w:r>
    </w:p>
    <w:p>
      <w:r>
        <w:rPr>
          <w:b/>
        </w:rPr>
        <w:t>E. 11</w:t>
      </w:r>
    </w:p>
    <w:p>
      <w:r>
        <w:t>Le recours porte sur la conformité de l'arrêté départemental du 3 avril 2019 approuvant le plan financier du 25 janvier 2019 ainsi que les prix de vente autorisés des logements et places de parc.</w:t>
      </w:r>
    </w:p>
    <w:p>
      <w:r>
        <w:rPr>
          <w:b/>
        </w:rPr>
        <w:t>E. 12</w:t>
      </w:r>
    </w:p>
    <w:p>
      <w:r>
        <w:t>Avant d'examiner les différents griefs au fond des recourantes, il convient de rappeler le cadre juridique dans lequel s'inscrit le présent litige.</w:t>
      </w:r>
    </w:p>
    <w:p>
      <w:r>
        <w:rPr>
          <w:b/>
        </w:rPr>
        <w:t>E. 13</w:t>
      </w:r>
    </w:p>
    <w:p>
      <w:r>
        <w:t>a. La zone de développement a pour l'essentiel comme objectif de favoriser la construction de logements répondant à un besoin d'intérêt public (ATA/1325/2017 du 26 septembre 2017 ; Alain MAUNOIR, Les zones de développement dans le canton de Genève, in RDAF 1998 I p. 266 et 267). b. La délivrance d'une autorisation de construire selon les normes d'une zone de développement est subordonnée à l'adoption préalable par le Conseil d'État d'un plan localisé de quartier (ci-après : PLQ) au sens de l'art. 3 LGZD et des conditions particulières applicables au projet imposées notamment à l'art. 5 LGZD (affectation à des besoins d'intérêt général ; art. 2 al. 1 let. a et b LGZD). Dès lors, les bâtiments d'habitation destinés à la vente, quel que soit le mode d'aliénation (notamment cession de droits de copropriété d'étages ou de parties d'étages, d'actions ou de parts sociales) doivent répondre, par le nombre, le type et le prix des logements prévus, à un besoin prépondérant d'intérêt général (art. 5 al. 1 let. b LGZD). Les plans techniques et financiers, notamment les normes applicables à l'état locatif ou au plan de vente et aux réserves pour entretien, doivent être préalablement agréés par le département. Toute modification qui intervient en cours de construction doit être signalée et faire, le cas échéant, l'objet d'un nouvel agrément (art. 5 al. 2 LGZD). Les prix et les loyers des bâtiments visés à l'art. 5 al. 1 let. b LGZD sont soumis au contrôle de l'État pendant une durée de dix ans dès la date d'entrée moyenne dans les logements (art. 5 al. 3 LGZD).</w:t>
      </w:r>
    </w:p>
    <w:p>
      <w:r>
        <w:t>- 18/26 - A/1989/2019 Lorsque le PLQ a été approuvé, le département informe le requérant en autorisation de construire des conditions à remplir et l'invite à présenter le plan financier de l'opération projetée (art. 4 RGZD). Il revient au département, dans le cadre de l'examen de la demande définitive en autorisation de construire, de fixer les conditions particulières au sens des art. 4 et 5 LGZD (art. 5 RGZD). Le département ne peut délivrer l'autorisation de construire que si toutes les conditions imposées sont remplies ou leur réalisation garantie de manière appropriée (art. 6 RGZD). La délivrance de l’autorisation de construire est subordonnée à la condition que les logements destinés à la location ou à la vente doivent répondre par le nombre, le type et les loyers des logements prévus, à un besoin prépondérant d’intérêt général (art. 5 al. 1 let. a et b LGZD). À cet effet, des garanties appropriées, assurant le respect des restrictions dont l’autorisation de construire est assortie, doivent être dûment fournies (art. 5 al. 1 let. d LGZD). Selon l’art. 5 al. 2 LGZD, les plans financiers, notamment les normes applicables à l’état locatif ou aux plans de vente et aux réserves d’entretien, doivent être préalablement agréés par le département compétent, toute modification qui intervient en cours de construction devant être signalée et faire le cas échéant l’objet d’un nouvel agrément. Le requérant doit fournir, avec la demande d'autorisation de construire, l'estimation du prix de revient de l'opération, les modalités du financement et de son coût ainsi que le plan financier d'exploitation (art. 13 al. 1 let. a, b et c RGZD). c. Selon l'art. 25 al. 1 RGZD, intitulé « Dispositions transitoires », les chapitres I - sur les conditions relatives aux immeubles - et X RGL - sur la procédure - ainsi que l'art. 82 RGL - sur les émoluments - sont applicables par analogie. Par conséquent, les art. 66 ss RGL régissant la procédure de mise au bénéfice de la LGL sont applicables par analogie à la procédure concernée (ATA/502/2014 précité). C'est sur cette base que l'OCLPF a fondé sa pratique en matière d'accords de vente et de décisions de mise en location de logements construits en zone de développement. Cela étant, vu la nature des habitations ici en cause destinées à la vente, cette application analogique ne peut être que partielle s'agissant desdits accords de vente, les dispositions légales précitées traitant spécifiquement de logements destinés à la location (ATA/1439/2017 du 31 octobres 2017 consid. 2c). Dès lors, le propriétaire requérant doit présenter une demande écrite à l'OCLPF (art. 66 al. 1 RGL), comportant les documents énoncés à l'art. 67 RGL, parmi lesquels un plan financier complet et conforme au modèle adopté par l'OCLPF, un descriptif des travaux, ainsi que tous les justificatifs requis concernant le prix du terrain et les frais d'acquisition éventuels (art. 67 let. g, h et j RGL). Si l'autorité accepte cette demande préliminaire, elle rend un accord de principe qui emporte la</w:t>
      </w:r>
    </w:p>
    <w:p>
      <w:r>
        <w:t>- 19/26 - A/1989/2019 mise au bénéfice provisoire de la loi. En même temps, elle détermine les prestations qui peuvent être accordées et en fixe la durée, la quotité et les conditions d'octroi prévues (art. 68 al. 1 et 3 RGL). Cet accord de principe peut devenir caduc de plein droit et sans avertissement à son échéance ou en cas de violation de ces conditions ou des dispositions légales et réglementaires (art. 69 al. 3 RGL). Aucune vente ne peut être conclue avant que l'OCLPF n'ait octroyé au requérant son accord à titre provisoire, jusqu'à l'obtention définitive du bénéfice de la loi (art. 73 al. 1 RGL par analogie). Pour obtenir l'accord provisoire, le bénéficiaire de l'accord de principe doit notamment joindre à sa demande d'autorisation de vente un plan financier intermédiaire complet et conforme au modèle adopté par l'OCLPF (art. 74 let. a RGL par analogie). Pour obtenir définitivement le bénéfice de la loi, le bénéficiaire de l'accord de principe doit présenter une demande à l'OCLPF accompagnée notamment d'un plan financier définitif complet et conforme au modèle adopté par l'OCLPF, de tous les justificatifs requis concernant le prix de revient définitif global de l'opération, et, s'il y a lieu, d'un jeu complet de plans d'exécution avec une liste des modifications apportées aux plans soumis pour l'accord provisoire (art. 75 et 76 RGL par analogie). Le requérant est tenu de remettre à l'OCLPF sur demande tous documents utiles à cet examen (art. 77 al. 2 RGL). Le projet de décision définitive du département est soumis à l'examen du requérant (art. 78 al 1 RGL). d. La procédure destinée à régler les aspects financiers liés à la délivrance d'une autorisation de construire en zone de développement se déroule suivant différentes phases successives, parallèlement à l'instruction par les services compétents du département des aspects techniques de la demande d'autorisation, mais également postérieurement à la fin de la construction. La première phase aboutit à la notification par le DT d'une seule décision (« accord de principe ») réglant ces deux questions (aspects financiers et techniques), la seconde à la décision d'accord de vente définitif (ATA/1439/2017 précité consid. 2e). Ainsi, l'autorisation de construire est octroyée en fonction d'un plan financier initial qui fait l'objet d'un accord de principe entre l'OCLPF et le promoteur. Ce dernier n'est à ce stade aucunement livré à la volonté de l'OCLPF. C'est ce cadre financier qui détermine le Conseil d'État à rendre son arrêté autorisant l'application des normes de la zone de développement au bâtiment à construire et c'est en fonction de cet arrêté que le DT délivre l'autorisation de construire requise. À l'issue de la construction, un accord provisoire de vente doit être délivrée pour permettre la mise en vente (art. 73 al. 1 RGL), qui est suivie de la délivrance d'un accord définitif de vente accompagnant la décision mettant le propriétaire au bénéfice définitif de la loi (art. 76 et 78 RGL ; ATA/1439/2017 précité consid. 2e).</w:t>
      </w:r>
    </w:p>
    <w:p>
      <w:r>
        <w:t>- 20/26 - A/1989/2019 Plusieurs décisions doivent donc être successivement rendues au gré de l'avancement du projet (accord de principe, autorisation provisoire et définitive de vente) et en fonction de l'évolution des coûts de la construction, mais dans le respect des plafonnements fixés dans l'accord de principe initial (arrêt du Tribunal fédéral 1C_676/2017 du 24 janvier 2019 consid. 3.5). Dans la procédure de construction en zone de développement, la décision octroyant l'autorisation définitive de construire constitue la première décision déployant un effet formateur, permettant la mise en œuvre du projet de construction en fonction de conditions techniques et financières définies. Si le recourant veut remettre en question la conformité au droit du plan financier et de l'état locatif que ladite autorisation lui impose de respecter, c'est contre celle-ci qu'il doit former recours (ATA/1439/2017 précité consid. 2e).</w:t>
      </w:r>
    </w:p>
    <w:p>
      <w:r>
        <w:rPr>
          <w:b/>
        </w:rPr>
        <w:t>E. 14</w:t>
      </w:r>
    </w:p>
    <w:p>
      <w:r>
        <w:t>En l'espèce, il est constant que les recourantes n'ont pas recouru à l'encontre de l'arrêté du Conseil d'État du 29 septembre 2008, ni à l'encontre de l'autorisation de construire (DD 101'059) du 10 octobre 2008, entrés en force depuis lors, et dont l'accord de principe du 2 septembre 2008 se basant sur le plan financier initial du 11 juillet 2008 fait partie intégrante. Dès lors, les conditions fixées par ces décisions, en particulier, les postes du plan financier initial, ne peuvent plus être remises en cause par les recourantes au stade de l'accord définitif (ATA/343/2020 précité). Celui-ci n'est ainsi susceptible de prendre en compte que les divergences avec les coûts effectifs de l'opération.</w:t>
      </w:r>
    </w:p>
    <w:p>
      <w:r>
        <w:rPr>
          <w:b/>
        </w:rPr>
        <w:t>E. 15</w:t>
      </w:r>
    </w:p>
    <w:p>
      <w:r>
        <w:t>Comme relevé plus haut, les griefs des recourantes en lien avec le montant de la péréquation ont été définitivement tranchés par le Tribunal fédéral dans son arrêt précité du 24 janvier 2019. Partant, il n'est pas nécessaire d'y revenir et leur recours sera rejeté sur ce point.</w:t>
      </w:r>
    </w:p>
    <w:p>
      <w:r>
        <w:rPr>
          <w:b/>
        </w:rPr>
        <w:t>E. 16</w:t>
      </w:r>
    </w:p>
    <w:p>
      <w:r>
        <w:t>Les recourantes reprochent au département de ne pas avoir retenu le montant de CHF 297'343.- au titre d'honoraires de promotion sous le poste 16 du plan financier alors qu'elles auraient remis tous les justificatifs utiles à l'appui de leur prétention. Le fait que les factures relatives à ces honoraires avaient été comptabilisées puis révisées en serait également la démonstration.</w:t>
      </w:r>
    </w:p>
    <w:p>
      <w:r>
        <w:rPr>
          <w:b/>
        </w:rPr>
        <w:t>E. 17</w:t>
      </w:r>
    </w:p>
    <w:p>
      <w:r>
        <w:t>Les honoraires de promotion résultent d'un contrat onéreux conclu entre un maître d'ouvrage et un promoteur immobilier. Ce dernier est chargé d'accomplir tous les actes nécessaires à la construction du bâtiment projeté, incluant ainsi les opérations juridiques, administratives et financière à cet effet.</w:t>
      </w:r>
    </w:p>
    <w:p>
      <w:r>
        <w:rPr>
          <w:b/>
        </w:rPr>
        <w:t>E. 18</w:t>
      </w:r>
    </w:p>
    <w:p>
      <w:r>
        <w:t>Les prestations fournies par le promoteur immobilier sont énumérées dans le descriptif des prestations de l'Association des promoteurs constructeurs genevois (APCG, avril 2012).</w:t>
      </w:r>
    </w:p>
    <w:p>
      <w:r>
        <w:t>- 21/26 - A/1989/2019 Les prestations caractéristiques de l'activité du promoteur peuvent être regroupées en trois catégories principales : - les prestations en vue de l'autorisation de construire et de l'ouverture du crédit de construction ; - les démarches en vue de la réalisation du projet ; - les prestations en matière d'administration. La première catégorie couvre les activités jusqu'à la constitution de l'organe juridique de promotion, les démarches foncières et la préparation du périmètre à la construction projetée, le permis de construire et l'étude du projet ainsi que le financement. La deuxième catégorie porte sur la préparation et la réalisation de la construction ainsi que la réception de l'ouvrage et le contrôle y afférent. Enfin, la troisième catégorie a trait à l'organisation générale, la préparation de la commercialisation ainsi que la fiscalité et bouclement de l'opération.</w:t>
      </w:r>
    </w:p>
    <w:p>
      <w:r>
        <w:rPr>
          <w:b/>
        </w:rPr>
        <w:t>E. 19</w:t>
      </w:r>
    </w:p>
    <w:p>
      <w:r>
        <w:t>Les honoraires de promotion se distinguent de la rémunération de l'activité de courtier chargé de la vente d'un bien immobilier. En cas de vente d'un tel bien, le taux de la commission est calculé en pourcentage du prix de vente et non pas du prix de revient de l'opération. S'agissant d'opérations portant sur des logements destinés à la vente au sens de l'art. 5 al. 1 let. b LGZD, la marge de bénéfices et risque admise par l'OCLPF, à savoir 18 %, rémunère les capitaux engagés et exposés aux risques durant toutes les phases du projet (de l'avant-projet jusqu'à la remise des clés) ainsi que les honoraires et les frais de commercialisation des lots PPE comme le prévoit la directive PA/SI/0 40. 01 - taux de marge brute maximum admis pour la vente de logements en propriété par étage (PPE) en zone de développement - état au 7 mars 2018. Ainsi, les frais de courtage sont compris dans la marge de bénéfices et risque visée sous p. 4 du plan financier.</w:t>
      </w:r>
    </w:p>
    <w:p>
      <w:r>
        <w:rPr>
          <w:b/>
        </w:rPr>
        <w:t>E. 20</w:t>
      </w:r>
    </w:p>
    <w:p>
      <w:r>
        <w:t>Les parties s'accordent sur le fait que les honoraires de promotion sont établis sur la base du prix de revient de l'opération et figurent au poste 16 du plan financier.</w:t>
      </w:r>
    </w:p>
    <w:p>
      <w:r>
        <w:rPr>
          <w:b/>
        </w:rPr>
        <w:t>E. 21</w:t>
      </w:r>
    </w:p>
    <w:p>
      <w:r>
        <w:t>Comme déjà rappelé, les postes du plan financier initial visé par une autorisation de construire définitive imposent à son bénéficiaire de plafonner les prix de revient de l'opération aux montants retenus, qui ne peuvent ainsi être remis en question au stade de l'accord définitif. En l'occurrence, le montant maximal admis au titre des honoraires de promotion ne pouvait excéder la somme de CHF 130'000.-, conformément à l'accord de principe du 2 septembre 2008 ainsi que du plan financier du 11 juillet 2008 (poste</w:t>
      </w:r>
    </w:p>
    <w:p>
      <w:r>
        <w:t>- 22/26 - A/1989/2019 16). Ces montants n'avaient d'ailleurs pas fait l'objet de modification au stade du plan financier intermédiaire du 25 septembre 2009. À ce sujet, selon les explications de l'autorité intimée, le montant budgété au titre des honoraires de promotion dans le plan financier initial du 11 juillet 2008 avait été admis au motif qu'il n'excédait pas la valeur théorique maximale retenue en principe pour une opération au prix de revient de plus de 6 millions de francs. En effet, le montant maximal des honoraires de promotion au stade du plan financier initial avait été calculé sur la base du prix de revient projeté de l'opération duquel est soustrait le prix du terrain (poste 11), le coût des honoraires de promotion (poste 16) et le montant de la péréquation avec l'immeuble locatif.</w:t>
      </w:r>
    </w:p>
    <w:p>
      <w:r>
        <w:rPr>
          <w:b/>
        </w:rPr>
        <w:t>E. 22</w:t>
      </w:r>
    </w:p>
    <w:p>
      <w:r>
        <w:t>Comme déjà indiqué, l'accord provisoire de vente du 2 octobre 2009 ne constituait qu'une étape vers la décision finale puisqu'à ce stade, le prix de revient comportait encore une part de budgets et devait être revu lors de l'accord définitif, visé par les art. 75 et ss LGL, applicables par analogie. C'est en effet au stade de l'accord définitif, que les prix de vente sont déterminés de manière définitive en fonction des coûts effectifs connus pour l'ensemble des postes du plan financier, conformément au mécanisme prévu par la LGL, dont notamment celui du prix de revient définitif de l'opération.</w:t>
      </w:r>
    </w:p>
    <w:p>
      <w:r>
        <w:rPr>
          <w:b/>
        </w:rPr>
        <w:t>E. 23</w:t>
      </w:r>
    </w:p>
    <w:p>
      <w:r>
        <w:t>Il ressort du dossier que depuis 2013, l'autorité intimée a requis des recourantes à réitérées reprises (19 août 2013, 27 mai 2014, 24 mars 2015, 6 novembre 2015, 16 novembre 2018 et 8 janvier 2019), la production d'un contrat de promotion et les factures acquittées par leurs soins au titre des honoraires en découlant. Il appartient en effet à l'OCLPF de s'assurer que le cadre financier contraignant fixé dans l'arrêté du Conseil d'État et dans l'autorisation de construire définitifs a été respecté et en particulier que les montants maximums admis pour chacun des postes mentionnées dans le plan financier approuvé par l'autorité compétente sont observés faute de quoi la marge de bénéfice et risques peut en être affectée, ceci dans le but d'assurer que les prix de vente correspondent à ceux du besoin d'intérêt général au sens de l'art. 5 al. 1 let. b LGZD. S'il apparait que les recourantes ont bien remis diverses factures à l'OCLPF, ce dernier n'a eu de cesse de leur réclamer le contrat de promotion qui seul pouvait lui permettre de distinguer à quel type de prestations (promotion, construction, commission ou autres) elles se référaient. Afin d'établir le montant revendiqué au titre de tels honoraires, les recourantes ont notamment adressé le 5 mai 2015 à l'OCLPF, un courrier comportant un tableau des appartements vendus, faisant état d'un total de commissions sur ventes de 4%, calculées sur la base du prix de vente des biens en question pour CHF 297'342,50. Elles ont fait valoir à cet égard que le montant global des honoraires de promotion</w:t>
      </w:r>
    </w:p>
    <w:p>
      <w:r>
        <w:t>- 23/26 - A/1989/2019 avait été facturé sur la base du prix effectif des ventes et non pas sur la base du plan financier. Or, comme l'a dûment expliqué l'OCLPF tant dans sa réponse au courrier précité que dans le cadre de la présente procédure, les frais de courtage sont compris dans la marge bénéfices et risque visé sous page 4 du plan financier et non dans le prix de revient et qu'il est prohibé de les facturer en sus du prix de vente autorisé par le plan de vente approuvé par l'OCLPF. Les recourantes contestent que ce montant corresponde à des commissions de courtage. Elles ne sauraient toutefois être suivies lorsqu'elles affirment que c'est par inadvertance, que le montant des honoraires de promotion aurait été inscrit au titre de commission dans le tableau récapitulatif de vente précité. Il est en effet douteux qu'il s'agisse d'une simple erreur de plume, laquelle aurait été répétée dans le courrier du 5 mai 2015 adressé à l'autorité intimée, co-signée par M. G______, notamment. En tout état, en ne remettant pas de contrat de promotion, les recourantes échouent à prouver le contraire et à ce sujet, on ne voit pas comment l'audition de M. G______, telle que requise par les recourantes, permettrait d'étayer leur argumentation de manière à emporter la conviction du tribunal, compte tenu de la position que ce dernier occupait au sein de H______. Enfin, l'argument des recourantes selon lequel l'établissement d'un contrat de promotion ne requiert pas la forme écrite selon le code des obligations tombe à faux, dès qu'elles ne pouvaient ignorer que la production de justificatifs probants, tel qu'un tel contrat, concernant les coûts effectifs de l'opération était indispensable pour permettre à l'autorité compétente de procéder aux vérifications qu'elle est tenue d'effectuer avant d'accorder définitivement le bénéfice de la loi aux bénéficiaires des accords de principe et provisoire. En définitive, l'OCLPF n'a pas abusé de son large pouvoir d'appréciation en ne retenant pas comme suffisantes les factures remises par les recourantes au titre de justificatifs propres à établir des honoraires de promotion.</w:t>
      </w:r>
    </w:p>
    <w:p>
      <w:r>
        <w:rPr>
          <w:b/>
        </w:rPr>
        <w:t>E. 24</w:t>
      </w:r>
    </w:p>
    <w:p>
      <w:r>
        <w:t>Il découle des considérants qui précèdent que le plan financier du 25 janvier 2019 tel qu'approuvé par l'autorité doit être confirmé, ce qui porte le prix total de vente autorisé à CHF 8'009'662.-.</w:t>
      </w:r>
    </w:p>
    <w:p>
      <w:r>
        <w:rPr>
          <w:b/>
        </w:rPr>
        <w:t>E. 25</w:t>
      </w:r>
    </w:p>
    <w:p>
      <w:r>
        <w:t>Les calculs auxquels a procédé le département qui parviennent à une différence de CHF 1'322'019.- entre le prix de vente global provisoire de CHF 9'331'879.- et celui définitif ramené à CHF 8'009'662.-, soit une diminution de 14,167% sont exacts et contrairement à ce que tentent de soutenir les recourantes, c'est bien le même pourcentage qui a été déduit de chaque prix de vente détaillé. Partant, le grief des recourantes selon lequel les prix de vente n'auraient pas été réduits dans la même proportion doit être écarté.</w:t>
      </w:r>
    </w:p>
    <w:p>
      <w:r>
        <w:t>- 24/26 - A/1989/2019 De même, l'arrêté querellé ne fixe que le montant définitif du prix de vente autorisé. Ainsi, les remboursements auxquels devront procéder les recourantes ne porteront que sur les paiements effectués sur la base de contrats de vente dont le prix fixé excède celui, maximum arrêté par le département. En conséquence, l'argument selon lequel seuls 16 boxes auraient été vendus n'est pas de nature à annuler la décision litigieuse.</w:t>
      </w:r>
    </w:p>
    <w:p>
      <w:r>
        <w:rPr>
          <w:b/>
        </w:rPr>
        <w:t>E. 26</w:t>
      </w:r>
    </w:p>
    <w:p>
      <w:r>
        <w:t>Les recourantes invoquent enfin la prescription de la décision litigieuse, soutenant que le département disposait de dix ans à compter de la date de chacune des inscriptions des acquéreurs au registre foncier, subsidiairement depuis le jour de chacune des prises de possession de leurs biens pour fixer le prix définitif de vente des logements et places de parc. Elles soutiennent ainsi que l'arrêté querellé ayant été prononcé le 3 avril 2019 et n'étant ni définitif ni exécutoire en raison de la présente procédure, aucun prix de vente définitif ne pourrait être fixé et aucun remboursement aux acquéreurs exigé. Enfin, elles font valoir que la durée du contrôle LGZD est terminée depuis le 31 août 2020, de sorte que le département ne pouvait plus contrôler les prix de ventes initiaux, ni subséquents et par voie de conséquence, ordonner la restitution d'un éventuel trop perçu.</w:t>
      </w:r>
    </w:p>
    <w:p>
      <w:r>
        <w:rPr>
          <w:b/>
        </w:rPr>
        <w:t>E. 27</w:t>
      </w:r>
    </w:p>
    <w:p>
      <w:r>
        <w:t>Le tribunal relève d'emblée que l'argumentation des recourantes, développée au stade de la réplique, ne repose sur aucune disposition légale. Il ne peut en outre pas s'agir d'une lacune dès lors que la solution proposée par les recourantes reviendrait à faire échec au but poursuivi par le législateur. Il a en effet été rappelé que la procédure destinée à régler les aspects financiers liés à la délivrance d'une autorisation de construire en zone de développement se déroule suivant différentes phases successives, parallèlement à l'instruction par les services compétents du département de la demande d'autorisation de construire, mais également postérieurement à la fin de la construction. La première phase aboutit à la notification par le département d'une seule décision (« accord de principe ») réglant ces deux questions (aspects financiers et techniques), la seconde à la décision d'accord de vente définitif. Pour obtenir définitivement le bénéfice de la loi, le bénéficiaire de l’accord de principe doit présenter une demande à l’OCLPF accompagnée notamment d’un plan financier définitif complet et de tous les justificatifs requis concernant le prix de revient définitif global de l’opération. Le requérant est tenu de remettre à l’OCLPF sur demande tous documents utiles à cet examen (art. 77 al. 2 RGL). Avec le département, il doit être observé que la décision querellée a été prise avant l'échéance du contrôle étatique et qu'elle porte sur l'adaptation des prix de vente autorisés à titre provisoire selon l'accord provisoire de vente du 2 octobre 2019 et qu'elle n'a pas trait aux prix de vente postérieurs au contrôle étatique.</w:t>
      </w:r>
    </w:p>
    <w:p>
      <w:r>
        <w:t>- 25/26 - A/1989/2019 Mais surtout, à suivre les recourantes, il suffirait au bénéficiaire des accords de principe et provisoire de tarder à requérir l'accord définitif voire de tarder à produire le plan financier définitif complet accompagné de tous les justificatifs utiles pour faire échec au but visé par la loi qui est d'assurer la mise sur le marché de logements à un prix de vente correspondant à ceux du besoin d'intérêt général au sens de l'art. 5 al. 1 LGZD. Partant, le grief des recourantes ne peut qu'être écarté. En conclusion, le département n'a ainsi ni excédé ni abusé de son pouvoir d'appréciation en rendant la décision litigieuse, qui est ainsi bien fondée.</w:t>
      </w:r>
    </w:p>
    <w:p>
      <w:r>
        <w:rPr>
          <w:b/>
        </w:rPr>
        <w:t>E. 28</w:t>
      </w:r>
    </w:p>
    <w:p>
      <w:r>
        <w:t>Le recours sera par conséquent rejeté.</w:t>
      </w:r>
    </w:p>
    <w:p>
      <w:r>
        <w:rPr>
          <w:b/>
        </w:rPr>
        <w:t>E. 29</w:t>
      </w:r>
    </w:p>
    <w:p>
      <w:r>
        <w:t>En application des art. 87 al. 1 LPA et 1 et 2 du règlement sur les frais, émoluments et indemnités en procédure administrative du 30 juillet 1986 (RFPA - E 5 10.03), les recourantes, prises conjointement et solidairement, qui succombent, sont condamnées au paiement d’un émolument s'élevant à CHF 1'500.- ; il est partiellement couvert par l’avance de frais versée à la suite du dépôt du recours. Vu l’issue du litige, aucune indemnité de procédure ne sera allouée (art. 87 al. 2 LPA).</w:t>
      </w:r>
    </w:p>
    <w:p>
      <w:r>
        <w:t>- 26/26 - A/1989/2019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