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JTAPI/347/2024 vom 16. April 2024</w:t>
      </w:r>
    </w:p>
    <w:p>
      <w:r>
        <w:t>GE Cour de justice, 2024-04-16, FR</w:t>
      </w:r>
    </w:p>
    <w:p>
      <w:r>
        <w:rPr>
          <w:b/>
        </w:rPr>
        <w:t xml:space="preserve">Quelle: </w:t>
      </w:r>
      <w:r>
        <w:t>https://mcp.opencaselaw.ch/entscheid/ge_gerichte_JTAPI_347_2024</w:t>
      </w:r>
    </w:p>
    <w:p>
      <w:r>
        <w:t>FR: GE_GERICHTE JTAPI/347/2024 du 16 avril 2024</w:t>
      </w:r>
    </w:p>
    <w:p>
      <w:r>
        <w:t>IT: GE_GERICHTE JTAPI/347/2024 del 16 aprile 2024</w:t>
      </w:r>
    </w:p>
    <w:p>
      <w:pPr>
        <w:pStyle w:val="Heading2"/>
      </w:pPr>
      <w:r>
        <w:t>Erwägungen</w:t>
      </w:r>
    </w:p>
    <w:p>
      <w:r>
        <w:rPr>
          <w:b/>
        </w:rPr>
        <w:t>E. 30</w:t>
      </w:r>
    </w:p>
    <w:p>
      <w:r>
        <w:t>Sur la base des pièces que le recourant a produites et dans l'hypothèse qui lui est la plus favorable, l’on peut admettre qu’il séjourne en Suisse de manière continue depuis juin 2016 (cf. attestation TPG). Sa présence lors de certaines années antérieures n’est établie que pour quelques mois par année. Entre septembre 2013 à août 2015, le recourant n'a pas apporté la preuve de son séjour continu en Suisse mais uniquement d’une présence épisodique à C______ (cf. attestations TPG). Dès lors, le recourant a échoué à démontrer une très longue durée du séjour en Suisse au sens de la jurisprudence précitée. Par ailleurs, il n'existe pas d'autres circonstances tout à fait exceptionnelles permettant au recourant d’obtenir le permis de séjour convoité.</w:t>
      </w:r>
    </w:p>
    <w:p>
      <w:r>
        <w:rPr>
          <w:b/>
        </w:rPr>
        <w:t>E. 31</w:t>
      </w:r>
    </w:p>
    <w:p>
      <w:r>
        <w:t>En effet, il ne peut pas se prévaloir d’une intégration socio-professionnelle exceptionnelle. L’emploi qu’il exerce en qualité de déménageur ne témoigne pas d’une ascension professionnelle remarquable et ne lui permet pas de subvenir à ses besoins. Il n’a pas acquis des qualifications spécifiques susceptibles de justifier l'admission d'un cas de rigueur au sens de l'art. 30 al. 1 let. b LEI. Il convient en outre de rappeler que le fait de travailler pour ne pas dépendre de l'aide sociale, ne pas avoir contracté de dettes, payer ses impôts et s'efforcer d'apprendre au moins la langue nationale parlée au lieu du domicile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Le recourant ne peut pas non plus se prévaloir d’un comportement irréprochable, compte tenu de ses deux condamnations pénales, notamment pour lésions corporelles à l’égard de sa petite amie en 2021.</w:t>
      </w:r>
    </w:p>
    <w:p>
      <w:r>
        <w:rPr>
          <w:b/>
        </w:rPr>
        <w:t>E. 32</w:t>
      </w:r>
    </w:p>
    <w:p>
      <w:r>
        <w:t>Sur le plan social, il ne ressort pas du dossier qu’il aurait noué des liens forts avec la Suisse. Il a passé non seulement toute son enfance au Brésil, mais également son adolescence et le début de sa vie d’adulte, périodes déterminantes pour le développement personnel et scolaire, et qui entraînent souvent une intégration accrue dans un milieu déterminé (cf. ATF 123 II 125 consid. 4b ; arrêt du Tribunal</w:t>
      </w:r>
    </w:p>
    <w:p>
      <w:r>
        <w:t>- 14/20 - A/1491/2023 fédéral 2C_75/2011 du 6 avril 2011 consid. 3.4 ; ATA/203/2018 du 6 mars 2018 consid. 9a).</w:t>
      </w:r>
    </w:p>
    <w:p>
      <w:r>
        <w:rPr>
          <w:b/>
        </w:rPr>
        <w:t>E. 33</w:t>
      </w:r>
    </w:p>
    <w:p>
      <w:r>
        <w:t>S'il se heurtera sans doute à des difficultés de réadaptation dans son pays d'origine, il ne démontre pas que celles-ci seraient plus graves pour lui que pour n'importe lequel de ses concitoyens qui se trouverait dans une situation similaire.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il ne pouvait ignorer, au vu de son statut illicite en Suisse, qu'il pourrait à tout moment être amené à devoir renoncer, en cas de refus de la régularisation de ses conditions de séjour, à ce qu’il avait mis en place en Suisse.</w:t>
      </w:r>
    </w:p>
    <w:p>
      <w:r>
        <w:rPr>
          <w:b/>
        </w:rPr>
        <w:t>E. 34</w:t>
      </w:r>
    </w:p>
    <w:p>
      <w:r>
        <w:t>Pour le surplus, les difficultés d'ordre général qu'il pourrait rencontrer au Brésil, afin notamment de retrouver un emploi, ne sauraient constituer une situation rigoureuse au sens de la jurisprudence précitée. À cet égard, rien n'indique d'ailleurs que l'expérience professionnelle qu'il a acquise en Suisse ne pourrait pas constituer un atout susceptible de favoriser sa réintégration sur le marché de l'emploi dans son pays d'origine.</w:t>
      </w:r>
    </w:p>
    <w:p>
      <w:r>
        <w:rPr>
          <w:b/>
        </w:rPr>
        <w:t>E. 35</w:t>
      </w:r>
    </w:p>
    <w:p>
      <w:r>
        <w:t>Partant, ni l'âge du recourant, ni la durée de son séjour sur le territoire suisse, ni son comportement,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w:t>
      </w:r>
    </w:p>
    <w:p>
      <w:r>
        <w:rPr>
          <w:b/>
        </w:rPr>
        <w:t>E. 36</w:t>
      </w:r>
    </w:p>
    <w:p>
      <w:r>
        <w:t>Le recourant se plaint d’une violation de l’art. 8 par. 1 CEDH.</w:t>
      </w:r>
    </w:p>
    <w:p>
      <w:r>
        <w:rPr>
          <w:b/>
        </w:rPr>
        <w:t>E. 37</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w:t>
      </w:r>
    </w:p>
    <w:p>
      <w:r>
        <w:rPr>
          <w:b/>
        </w:rPr>
        <w:t>E. 38</w:t>
      </w:r>
    </w:p>
    <w:p>
      <w:r>
        <w:t>Les relations familiales qui, sous cet angle, peuvent fonder un droit à une autorisation de police des étrangers sont avant tout celles qui concernent la famille</w:t>
      </w:r>
    </w:p>
    <w:p>
      <w:r>
        <w:t>- 15/20 - A/1491/2023 dite nucléaire, soit celles qui existent entre époux, ainsi qu'entre parents et enfants mineurs vivant en ménage commun (ATF 140 I 77 consid. 5.2 ; 137 I 113 consid. 6.1 ; 135 I 143 consid. 1.3.2 ; arrêt du Tribunal fédéral 2C_293/2018 du 5 octobre 2018 consid. 1.4).</w:t>
      </w:r>
    </w:p>
    <w:p>
      <w:r>
        <w:rPr>
          <w:b/>
        </w:rPr>
        <w:t>E. 39</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140 I 77 consid. 5.2 ; 137 I 113 consid. 6.1 ; arrêt du Tribunal fédéral 2C_71/2022 du 26 janvier 2022 consid. 4.2).</w:t>
      </w:r>
    </w:p>
    <w:p>
      <w:r>
        <w:rPr>
          <w:b/>
        </w:rPr>
        <w:t>E. 40</w:t>
      </w:r>
    </w:p>
    <w:p>
      <w:r>
        <w:t>Il faut aussi tenir compte de l'intérêt fondamental de l'enfant (art. 3 de la Convention du 20 novembre 1989 relative aux droits de l'enfant - CDE - RS 0.107) à pouvoir grandir en jouissant d'un contact étroit avec ses deux parents (cf. ATF 143 I 21 consid. 5.5.1 ; arrêts du Tribunal fédéral 2C_633/2018 du 13 février 2019 consid. 7.1 ; 2C_520/2016 du 13 janvier 2017 consid. 4.2 et les arrêts cités ; cf. aussi arrêt de la Cour EDH El Ghatet contre Suisse du 8 novembre 2016, requête n° 56971/10, § 27 s. et 46 s.).</w:t>
      </w:r>
    </w:p>
    <w:p>
      <w:r>
        <w:rPr>
          <w:b/>
        </w:rPr>
        <w:t>E. 41</w:t>
      </w:r>
    </w:p>
    <w:p>
      <w:r>
        <w:t>Le parent étranger qui n'a pas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et les références citées ; arrêt du Tribunal fédéral 2C_303/2018 du 20 juin 2018 consid. 4.2).</w:t>
      </w:r>
    </w:p>
    <w:p>
      <w:r>
        <w:rPr>
          <w:b/>
        </w:rPr>
        <w:t>E. 42</w:t>
      </w:r>
    </w:p>
    <w:p>
      <w:r>
        <w:t>Selon la jurisprudence, un droit de séjourner dans celui-ci ne peut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144 I 91 consid. 5.1 et les références citées ; arrêt du Tribunal fédéral 2C_844/2019 du 28 février 2020 consid. 3.1).</w:t>
      </w:r>
    </w:p>
    <w:p>
      <w:r>
        <w:rPr>
          <w:b/>
        </w:rPr>
        <w:t>E. 43</w:t>
      </w:r>
    </w:p>
    <w:p>
      <w:r>
        <w:t>Dans le cadre de l'examen de la proportionnalité de la mesure, il faut aussi tenir compte de l'intérêt fondamental de l'enfant à pouvoir grandir en jouissant d'un contact étroit avec ses deux parents, étant précisé que, sous l'angle du droit des</w:t>
      </w:r>
    </w:p>
    <w:p>
      <w:r>
        <w:t>- 16/20 - A/1491/2023 étrangers, cet élément n'est pas prépondérant par rapport aux autres et que l'art. 3 CDE ne fonde pas une prétention directe à l'octroi ou au maintien d'une autorisation (cf. ATF 144 I 91 consid. 5.2 et les références citées ; arrêt du Tribunal fédéral 2C_303/2018 du 20 juin 2018 consid. 4.2).</w:t>
      </w:r>
    </w:p>
    <w:p>
      <w:r>
        <w:rPr>
          <w:b/>
        </w:rPr>
        <w:t>E. 44</w:t>
      </w:r>
    </w:p>
    <w:p>
      <w:r>
        <w:t>La jurisprudence a précisé, en lien avec l'art. 50 al. 1 let. b LEI, que l'exigence du lien affectif particulièrement fort doit être considérée comme remplie lorsque les contacts personnels sont exercés dans le cadre d'un droit de visite usuel selon les standards d'aujourd'hui (cf. ATF 140 I 145 consid. 3.2 ; arrêt du Tribunal fédéral 2C_844/2019 du 28 février 2020 consid. 3.1).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 ; 139 I 315 consid. 2.3 ; arrêt du Tribunal fédéral 2C_303/2018 du 20 juin 2018 consid. 4.3.1 ; cf. aussi arrêt du Tribunal fédéral 2C_844/2019 du 28 février 2020 consid. 3.1). Une telle solution prend également en compte l'art. 9 par. 3 CDE (cf. ATF 140 I 145 consid. 3.2 ; 139 I 315 consid. 2.4 et 2.5 ; arrêt du Tribunal fédéral 2C_844/2019 du 28 février 2020 consid. 3.1).</w:t>
      </w:r>
    </w:p>
    <w:p>
      <w:r>
        <w:rPr>
          <w:b/>
        </w:rPr>
        <w:t>E. 45</w:t>
      </w:r>
    </w:p>
    <w:p>
      <w:r>
        <w:t>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 ; 2C_794/2014 du 23 janvier 2015 consid. 3.3).</w:t>
      </w:r>
    </w:p>
    <w:p>
      <w:r>
        <w:rPr>
          <w:b/>
        </w:rPr>
        <w:t>E. 46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144 I 91 consid. 5.2.4 ; arrêt du Tribunal fédéral 2C_844 du 28 février 2020 consid. 3.1).</w:t>
      </w:r>
    </w:p>
    <w:p>
      <w:r>
        <w:rPr>
          <w:b/>
        </w:rPr>
        <w:t>E. 47</w:t>
      </w:r>
    </w:p>
    <w:p>
      <w:r>
        <w:t>Le Tribunal fédéral a jugé qu’une personne qui avait accumulé d'importantes dettes sans montrer une réelle volonté de les rembourser et avait commis plusieurs infractions aux règles de la circulation routière, ne pouvait se prévaloir du droit au respect de sa vie familiale et privée, quand bien même elle résidait en Suisse depuis 1991 (arrêt 2C_194/2019 du 10 mars 2019 consid. 2.3 ; sur ces questions, cf. également arrêts 2C_119/2019 du 4 février 2019 consid. 4 ; 2C_18/2019 du 9 janvier 2019 consid. 2.3 ; arrêt du Tribunal administratif fédéral F-3231/2017 du 9 mai 2019 consid. 6.5).</w:t>
      </w:r>
    </w:p>
    <w:p>
      <w:r>
        <w:t>- 17/20 - A/1491/2023</w:t>
      </w:r>
    </w:p>
    <w:p>
      <w:r>
        <w:rPr>
          <w:b/>
        </w:rPr>
        <w:t>E. 48</w:t>
      </w:r>
    </w:p>
    <w:p>
      <w:r>
        <w:t>Si l'art. 8 CEDH ouvre le droit à une autorisation de séjour, c’est à des conditions restrictives, l'étranger devant établir l'existence de liens sociaux et professionnels spécialement intenses avec la Suisse, notablement supérieurs à ceux qui résultent d'une intégration ordinaire (cf. ATF 130 II 281 consid. 3.2.1 ; arrêts du Tribunal fédéral 2C_739/2016 du 31 janvier 2017 consid. 1.1 ; 2C_647/2016 du 2 décembre 2016 consid. 1.1 et 3.1 ; 2C_891/2016 du 27 septembre 2016 consid.3.2 ; 2C_725/2014 du 23 janvier 2015 ; consid. 3.2).</w:t>
      </w:r>
    </w:p>
    <w:p>
      <w:r>
        <w:rPr>
          <w:b/>
        </w:rPr>
        <w:t>E. 49</w:t>
      </w:r>
    </w:p>
    <w:p>
      <w:r>
        <w:t>Le droit au respect de la vie privée et familiale garanti par l'art. 8 par. 1 CEDH n'est toutefois pas absolu. Une ingérence dans l'exercice de ce droit est possible aux conditions de l'art. 8 par. 2 CEDH. La mise en œuvre d'une politique restrictive en matière de séjour des étrangers constitue un but légitime au regard de cette disposition conventionnelle (ATF 137 I 284 consid. 2.1 ; 135 I 153 consid. 2.2.1 ; arrêt du Tribunal fédéral 2C_492/2018 du 9 août 2018 consid. 4.2).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w:t>
      </w:r>
    </w:p>
    <w:p>
      <w:r>
        <w:rPr>
          <w:b/>
        </w:rPr>
        <w:t>E. 50</w:t>
      </w:r>
    </w:p>
    <w:p>
      <w:r>
        <w:t>En l'espèce, le recourant ne dispose pas du droit de garde sur son fils ni de l'autorité parentale conjointe. Son droit de visite est exercé à raison d’une fois tous les quinze jours dans le cadre d’un point rencontre. Tel n’a toutefois pas toujours été le cas puisque le recourant a abandonné son fils alors qu’il était âgé de sept mois, sans prendre de nouvelles le concernant durant presque cinq ans, attribuant la cause de cette situation uniquement à la mère de l’enfant, sans retour sur son propre comportement. Il a reconnu son fils alors qu’il était âgé de quatre ans et demi, trois semaines après avoir fait l’objet d’une décision de renvoi de Suisse et une semaine avant de déposer une demande d’autorisation de séjour. S’il est impossible d’avoir la preuve que la reconnaissance de l’enfant l’a été dans le but d’obtenir une autorisation de séjour, ce timing interpelle. Quoiqu’il en soit, les relations qu’il entretient avec son fils ne peuvent pas être qualifiées d’étroites, effectives, intactes et particulièrement forts d'un point de vue affectif, comme exigé par la loi et la jurisprudence précitée. En la faveur du recourant, le tribunal retiendra qu’il verse régulièrement les contributions d’entretien dues d’un montant de CHF 300.- mensuellement. Cela étant et compte tenu de sa situation financière et du faible montant de cette participation, on ne saurait retenir qu’il contribue de manière significative à l'entretien de son fils, de sorte que la condition relative à l'existence d'une relation économique étroite n’apparaît pas remplie. En tout état, le recourant ne peut manifestement pas se prévaloir d'un comportement irréprochable, compte tenu de ses condamnations pénales pour notamment des</w:t>
      </w:r>
    </w:p>
    <w:p>
      <w:r>
        <w:t>- 18/20 - A/1491/2023 violences physiques et domestiques incompatibles avec l’ordre sociétal suisse. Il est par ailleurs dans l’incapacité de subvenir de façon autonome à ses propres besoins et à ceux de son fils, comptant sur sa sœur qui le loge pour un loyer dérisoire, sans que l’on puisse constater une quelconque amélioration de sa situation. Il n’a, en tout état, pas accompli les efforts nécessaires pour acquérir son indépendance financière, ne conservant ses emplois que pour quelques mois pour un salaire ne lui permettant pas de s’assumer seul. Enfin, le recourant pourra entretenir des contacts avec son fils par le biais des moyens de communication modernes et par des visites dans le cadre de brefs séjours en Suisse ou dans des pays tierces. 51. Dès lors que le recourant ne peut pas se prévaloir d’une intégration socioprofessionnelle particulièrement approfondie en Suisse, qu’il n’a pas fait preuve d’un comportement irréprochable, le refus de renouveler son autorisation de séjour que lui a opposé l’OCPM ne constitue pas une ingérence inadmissible dans son droit à la protection de sa vie familiale et privée en Suisse, tel que consacré par l'art. 8 CEDH. Hormis ses liens avec son fils, qui ne peuvent pas à eux seuls justifier la poursuite de son séjour en Suisse, le dossier ne contient aucun élément déterminant qui ferait apparaître le refus de l’OCPM comme disproportionné ou contraire au droit conventionnel et fédéral. 52. Selon l'art. 64 al. 1 let. c LEI, les autorités compétentes rendent une décision de renvoi ordinaire à l'encontre d'un étranger auquel une autorisation est refusée ou dont l'autorisation, bien que requise, est révoquée ou n'est pas prolongée après un séjour autorisé. 53. Le renvoi constitue la conséquence logique et inéluctable du rejet d'une demande tendant à la délivrance ou la prolongation d'une autorisation de séjour, l'autorité ne disposant à ce titre d'aucun pouvoir d'appréciation (ATA/1118/2020 du 10 novembre 2020 consid. 11a). 54. 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 55. Infondé, le recours sera rejeté et la décision contestée confirmée. 56. 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versée à la suite du dépôt du recours. Vu l’issue du litige, aucune indemnité de procédure ne sera allouée (art. 87 al. 2 LPA). 57. En vertu des art. 89 al. 2 et 111 al. 2 de la loi sur le Tribunal fédéral du 17 juin 2005 (LTF - RS 173.110), le présent jugement sera communiqué au secrétariat d'État aux migrations.</w:t>
      </w:r>
    </w:p>
    <w:p>
      <w:r>
        <w:t>- 19/20 - A/1491/2023</w:t>
      </w:r>
    </w:p>
    <w:p>
      <w:r>
        <w:t>- 20/20 - A/1491/2023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