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JTAPI/346/2025 vom 28. März 2013</w:t>
      </w:r>
    </w:p>
    <w:p>
      <w:r>
        <w:t>GE Cour de justice, 2013-03-28, FR</w:t>
      </w:r>
    </w:p>
    <w:p>
      <w:r>
        <w:rPr>
          <w:b/>
        </w:rPr>
        <w:t xml:space="preserve">Quelle: </w:t>
      </w:r>
      <w:r>
        <w:t>https://mcp.opencaselaw.ch/entscheid/ge_gerichte_JTAPI_346_2025</w:t>
      </w:r>
    </w:p>
    <w:p>
      <w:r>
        <w:t>FR: GE_GERICHTE JTAPI/346/2025 du 28 mars 2013</w:t>
      </w:r>
    </w:p>
    <w:p>
      <w:r>
        <w:t>IT: GE_GERICHTE JTAPI/346/2025 del 28 marzo 2013</w:t>
      </w:r>
    </w:p>
    <w:p>
      <w:pPr>
        <w:pStyle w:val="Heading2"/>
      </w:pPr>
      <w:r>
        <w:t>Erwägungen</w:t>
      </w:r>
    </w:p>
    <w:p>
      <w:r>
        <w:rPr>
          <w:b/>
        </w:rPr>
        <w:t>E. 18</w:t>
      </w:r>
    </w:p>
    <w:p>
      <w:r>
        <w:t>mars 2015 consid. 4.5). Sur le plan social, bien qu’il ait produit un document attestant d’un niveau A2 de français, il n'a pas démontré avoir noué avec la Suisse des liens dépassant en intensité ce qui peut être raisonnablement attendu d’un étranger ayant passé un nombre d'années équivalent dans le pays. En tout état, le fait de travailler pour ne pas dépendre de l'aide sociale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Pour ce qui a trait à sa situation familiale, le recourant dispose certes d’attaches familiales en Suisse en raison notamment de la présence de sa sœur et de son fils mineur à Genève. La relation qu’il entretient avec ce dernier, potentiellement couverte par l’art. 8 CEDH, fera l’objet d’une analyse séparée ci-dessous. Ceci étant réservé, il ne ressort pas du dossier que les liens que le recourant a pu se créer en Suisse dépasseraient en intensité ce qui peut être raisonnablement attendu d’étrangers ayant passé un nombre d'années équivalent dans le pays. Il ne peut en tous cas pas se prévaloir d’une intégration sociale remarquable. Par ailleurs, le recourant a passé toute son enfance, son adolescence, soit les années décisives pour l'intégration socioculturelle, ainsi qu'une grande partie de sa vie d’adulte au Brésil, pays dont il maitrise la langue ainsi que les us et coutumes. Ses connaissances acquises en langue française devraient pour le surplus faciliter sa réintégration sur le marché de l'emploi dans son pays, même s'il peut être admis que le marché du travail au Brésil est plus incertain qu'en Suisse. Quoi qu'il en soit, aucun élément du dossier n'atteste, une fois encore, que les difficultés auxquelles il devrait faire face en cas de retour seraient plus lourdes que celles que rencontrent d'autres compatriotes contraints de retourner dans leur pays d'origine au terme d'un séjour de plusieurs années en Suisse. Dans ces circonstances, sa réintégration dans son pays d’origine ne paraît pas gravement compromise en soi et le recourant, en bonne santé, ne fait état d’aucun élément particulier qui permettrait de retenir le contraire. Le recourant ne présente donc pas une situation de détresse personnelle au sens de l’art. 30 al. 1 let. b LEI et il ne se justifie en conséquence pas de déroger aux conditions d’admission en Suisse en sa faveur, au vu de la jurisprudence très stricte en la matière. Enfin, il faut rappeler que celui qui place l'autorité devant le fait accompli doit s'attendre à ce que celle-ci se préoccupe davantage de rétablir une</w:t>
      </w:r>
    </w:p>
    <w:p>
      <w:r>
        <w:t>- 14/20 - A/3845/2024 situation conforme au droit que d'éviter les inconvénients qui en découlent pour lui. Ainsi, au vu de son statut précaire en Suisse, notamment suite à son renvoi prononcé en 2013, le recourant ne pouvait à aucun moment ignorer qu'il risquait d'être renvoyé dans son pays d'origine.</w:t>
      </w:r>
    </w:p>
    <w:p>
      <w:r>
        <w:rPr>
          <w:b/>
        </w:rPr>
        <w:t>E. 20</w:t>
      </w:r>
    </w:p>
    <w:p>
      <w:r>
        <w:t>Au vu de l'ensemble de ces circonstances, il apparaît que l'OCPM n'a pas violé le droit, ni excédé ou abusé de son pouvoir d'appréciation en rejetant la requête du recourant sous l’angle du cas de rigueur.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21</w:t>
      </w:r>
    </w:p>
    <w:p>
      <w:r>
        <w:t>Reste à déterminer si l'intéressé peut obtenir un titre de séjour en se fondant sur l'art. 8 CEDH.</w:t>
      </w:r>
    </w:p>
    <w:p>
      <w:r>
        <w:rPr>
          <w:b/>
        </w:rPr>
        <w:t>E. 22</w:t>
      </w:r>
    </w:p>
    <w:p>
      <w:r>
        <w:t>Un étranger peut, selon les circonstances, se prévaloir du droit au respect de sa vie privée et familiale garanti par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141 II 169 consid. 5.2.1 ; 140 I 77 consid. 5.2 ; arrêt du Tribunal fédéral 2C_722/2019 du 2 septembre 2019 consid. 4.1 ; ATA/1093/2019 du 25 juin 2019 consid. 7a). Les relations visées par cette disposition sont avant tout celles qui concernent la famille dite nucléaire, soit celles qui existent entre époux et entre parents et enfants mineurs vivant en ménage commun (ATF 140 I 77 consid. 5.2 ; 137 I 113 consid. 6.1 ; 127 II 60 consid. 1d/aa ; 120 Ib 257 consid. 1d ; ATA/519/2017 du 9 mai 2017 consid. 10c). Les signes indicateurs d'une relation étroite et effective sont en particulier le fait d'habiter sous le même toit, la dépendance financière, des liens familiaux particulièrement proches et des contacts réguliers (cf. ATF 135 I 143 consid. 3.1 p. 148; arrêts 2C_1045/2014 du 26 juin 2015 consid. 1.1.2; 2C_435/2014 du 13 février 2015 consid. 4.1).</w:t>
      </w:r>
    </w:p>
    <w:p>
      <w:r>
        <w:rPr>
          <w:b/>
        </w:rPr>
        <w:t>E. 23</w:t>
      </w:r>
    </w:p>
    <w:p>
      <w:r>
        <w:t>Selon la jurisprudence, le parent étranger qui n’a pas l’autorité parentale ni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144 I 91 consid. 5.1 ; 140 I 145 consid. 3.2 ; 139 I 315 consid. 2.2). Le droit de visite d'un parent sur son</w:t>
      </w:r>
    </w:p>
    <w:p>
      <w:r>
        <w:t>- 15/20 - A/3845/2024 enfant ne doit en effet pas nécessairement s'exercer à un rythme bimensuel et peut également être organisé de manière à être compatible avec des séjours dans des pays différents (cf. ATF 143 I 21 consid. 5.3 et 5.4 et les références citées, notamment au droit civil; ATF 140 I 145 consid. 3.2).</w:t>
      </w:r>
    </w:p>
    <w:p>
      <w:r>
        <w:rPr>
          <w:b/>
        </w:rPr>
        <w:t>E. 24</w:t>
      </w:r>
    </w:p>
    <w:p>
      <w:r>
        <w:t>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5.1 ; 143 I 21 consid. 5.2 ; 142 II 35 consid. 6.1 et 6.2 ; 140 I 145 consid. 3.2 ; 139 I 315 consid. 2.2 ; arrêt du Tribunal fédéral 2C_76/2017 du 1er mai 2017 consid. 3.2.1). Ces exigences doivent être appréciées ensemble et faire l'objet d'une pesée des intérêts globale (cf. ATF 144 I 91 consid. 5.1 et les références citées ; arrêt du Tribunal fédéral 2C_844/2019 du 28 février 2020 consid. 3.1).</w:t>
      </w:r>
    </w:p>
    <w:p>
      <w:r>
        <w:rPr>
          <w:b/>
        </w:rPr>
        <w:t>E. 25</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À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(cf. ATF 144 I 91 consid. 5.2.1 et références citées).</w:t>
      </w:r>
    </w:p>
    <w:p>
      <w:r>
        <w:rPr>
          <w:b/>
        </w:rPr>
        <w:t>E. 26</w:t>
      </w:r>
    </w:p>
    <w:p>
      <w:r>
        <w:t>Le lien économique est particulièrement fort lorsque l'étranger verse effectivement à l'enfant des prestations financières dans la mesure décidée par les instances judiciaires civiles (ATF 139 I 315 consid. 3.2 ; arrêts du Tribunal fédéral 2C_947/2015 du 10 mars 2016 consid. 3.5 ; 2C_794/2014 du 23 janvier 2015 consid. 3.3). La contribution à l'entretien peut également avoir lieu en nature, en particulier en cas de garde alternée (ATF 143 I 21 consid. 6.3.5 ; arrêts du Tribunal fédéral 2C_821/2016 du 2 février 2018 consid. 5.2.2 ; 2C_635/2016 du 17 mars 2017 consid. 2.1.3). Les exigences relatives à l'étendue de la relation que l'étranger doit entretenir avec son enfant d'un point de vue affectif et économique doivent rester dans l'ordre du possible et du raisonnable (ATF 144 I 91 consid. 5.2.2).</w:t>
      </w:r>
    </w:p>
    <w:p>
      <w:r>
        <w:rPr>
          <w:b/>
        </w:rPr>
        <w:t>E. 27</w:t>
      </w:r>
    </w:p>
    <w:p>
      <w:r>
        <w:t>Enfin, la condition de comportement irréprochable s'apprécie en principe de manière stricte (ATF 139 I 315 consid. 2.5 ; arrêt du Tribunal fédéral 2C_728/2014</w:t>
      </w:r>
    </w:p>
    <w:p>
      <w:r>
        <w:t>- 16/20 - A/3845/2024 du 6 mars 2015 consid. 4.1).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140 I 145 consid. 4.3 p. 150 s.; arrêts 2C_165/2017 du 3 août 2017 consid. 3.5; 2C_1066/2016 du 31 mars 2017 consid. 4.4). Le Tribunal fédéral a jugé qu’une personne qui avait accumulé d'importantes dettes sans montrer une réelle volonté de les rembourser et avait commis plusieurs infractions aux règles de la circulation routière, ne pouvait se prévaloir du droit au respect de sa vie familiale et privée, quand bien même elle résidait en Suisse depuis 1991 (arrêt 2C_194/2019 du 10 mars 2019 consid. 2.3 ; sur ces questions, cf. également arrêts 2C_119/2019 du 4 février 2019 consid. 4 ; 2C_18/2019 du 9 janvier 2019 consid. 2.3 ; arrêt du Tribunal administratif fédéral F-3231/2017 du 9 mai 2019 consid. 6.5).</w:t>
      </w:r>
    </w:p>
    <w:p>
      <w:r>
        <w:rPr>
          <w:b/>
        </w:rPr>
        <w:t>E. 28</w:t>
      </w:r>
    </w:p>
    <w:p>
      <w:r>
        <w:t>Les conditions posées par la jurisprudence pour pouvoir invoquer l'art. 8 CEDH sont cumulatives (arrêts du Tribunal fédéral 2C_520/2016 du 13 janvier 2017 consid. 4.4 ; 2C_209/2015 du 13 août 2015 consid. 3.3.2</w:t>
      </w:r>
    </w:p>
    <w:p>
      <w:r>
        <w:rPr>
          <w:b/>
        </w:rPr>
        <w:t>E. 29</w:t>
      </w:r>
    </w:p>
    <w:p>
      <w:r>
        <w:t>L'autorité administrative doit identifier la nature et l'étendue des relations personnelles effectives entretenues entre les parents et les enfants, en invitant les parties à collaborer à l'établissement des faits (art. 90 LEI; ATF 143 I 21 consid. 5.5.4).</w:t>
      </w:r>
    </w:p>
    <w:p>
      <w:r>
        <w:rPr>
          <w:b/>
        </w:rPr>
        <w:t>E. 30</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w:t>
      </w:r>
    </w:p>
    <w:p>
      <w:r>
        <w:t>- 17/20 - A/3845/2024 l’art. 8 CEDH pour demeurer en Suisse, à condition qu’elle fasse état de manière défendable d’une intégration hors du commun (arrêt du Tribunal fédéral 2C_245/2024 du 16 mai 2024 consid. 4.2.1).</w:t>
      </w:r>
    </w:p>
    <w:p>
      <w:r>
        <w:rPr>
          <w:b/>
        </w:rPr>
        <w:t>E. 31</w:t>
      </w:r>
    </w:p>
    <w:p>
      <w:r>
        <w:t>Il doit également être tenu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(arrêt du Tribunal fédéral 2C_639/2012 du 13 février 2013 consid. 4.3). Les dispositions de la CDE ne font toutefois pas de l’intérêt de l’enfant un critère exclusif, mais un élément d’appréciation, dont l’autorité doit tenir compte lorsqu’il s’agit de mettre en balance les différents intérêts en présence, étant relevé que les dispositions de cette convention ne confèrent aucune prétention directe à l’octroi d’une autorisation de séjour (ATF 139 I 315 consid. 2.4).</w:t>
      </w:r>
    </w:p>
    <w:p>
      <w:r>
        <w:rPr>
          <w:b/>
        </w:rPr>
        <w:t>E. 32</w:t>
      </w:r>
    </w:p>
    <w:p>
      <w:r>
        <w:t>En l'occurrence, il y a tout d'abord lieu de relever que le recourant n'a jamais disposé d’un droit de séjour en Suisse. Partant, dans l'appréciation des liens qu'il entretient avec son fils, conformément à la jurisprudence exposée ci-dessus, il doit démontrer l'existence relations personnelles d'une intensité particulière et ne peut profiter des critères jurisprudentiels plus favorables selon lesquels l'existence d'un lien affectif particulièrement fort doit être admise lorsque les contacts personnels sont exercés dans le cadre d'un droit de visite usuel (arrêt 2C 435/2014 du 13 février 2015 consid. 4.4). Or, sous réserve d'un écrit de Mme B______ du 20 janvier 2021 indiquant que C______ vivait avec elle et voyait son père la plupart des week-ends ainsi que certains mercredis et qu'une contribution d'entretien de CHF 300.- avait été convenue entre eux, le dossier ne contient aucune pièce officielle émanant des autorités civiles ni aucun élément de preuve permettant d'attester les droits parentaux du recourant sur son fils. De même, à part le courrier dactylographié du 10 août 2022, cosigné par le recourant et C______, sujet à caution, le dossier ne contient aucun élément concret qui permettrait d’attester de l’intensité de la relation existant entre le recourant et son enfant (comme par exemple des échanges de messages avec la mère pour organiser les vacances, des photographies prises avec son fils, ou encore tout simplement une description circonstanciée de moments passés ensemble, leur fréquence etc…). D'autre part, il n'a pas non plus été démontré que le recourant contribuerait régulièrement et de manière significative à l'entretien de son fils. Si l'intéressé prétend effectuer des versements en faveur de C______, il ne ressort nullement du dossier de l’OCPM que ces paiements seraient effectués de manière régulière. À cet égard, depuis le prononcé du divorce en février 2018, et selon les quittances figurant au dossier, seuls six versements effectués par le recourant en faveur de son ex-épouse ont été prouvés (à savoir CHF 500.- en octobre 2018, CHF 500.- en novembre 2018, CHF 500.- en décembre 2018, CHF 200.- le 7 décembre 2021, CHF 300.- le 14 décembre 2021 et CHF 600.- le 9 août</w:t>
      </w:r>
    </w:p>
    <w:p>
      <w:r>
        <w:t>- 18/20 - A/3845/2024 2022, soit un montant total de CHF 2'600.- sur une période de sept ans). Dans ces conditions, l'existence d'une relation économique étroite n’apparaît pas non plus remplie. Compte tenu de ce qui précède, la condition de l'existence d'un lien fort entre père et fils, tant d'un point de vue affectif qu'économique, n’a pas été démontrée, étant rappelé que, conformément au devoir de collaborer (art. 90 LEI), il appartenait au recourant non seulement d'affirmer les circonstances en lien avec sa relation avec son fils, mais aussi de les prouver. A cet égard, il sera encore relevé que l’OCPM lui a réclamé ces preuves à maintes reprises depuis le dépôt de sa demande le 19 mars 2018. Pour le surplus, comme déjà dit supra, le recourant ne saurait se prévaloir d'un « comportement irréprochable », au vu de son endettement important et de son attitude répréhensible en regard de la législation sur les étrangers, en particulier son refus de se conformer aux décisions rendues par les autorités administratives à son encontre, notamment la décision de renvoi du 28 mars 2013 et l'IES prononcée par le SEM en date du 23 avril 2015. Enfin, comme admis par la jurisprudence, le recourant pourra voir son fils au Brésil ou en Suisse, durant les vacances scolaires par exemple, en aménageant les modalités de ces rencontres (fréquence et durée), étant rappelé que le droit de visite d’un parent sur son enfant peut être organisé de manière à être compatible avec des séjours dans des pays différents. Le recourant pourra en outre maintenir des contacts réguliers avec C______, âgée de 16 ans, par les moyens actuels de télécommunications. Sous l’angle de l’intérêt supérieur de l’enfant consacré par la CDE, s'il est de manière générale préférable qu'un enfant puisse avoir son père à ses côtés, il faut rappeler que cette convention n'accorde ni à l'enfant ni à ses parents un droit à la réunion de la famille dans un État particulier ou une prétention directe à l'obtention d'une autorisation de séjour. Enfin, faute d'un séjour de dix ans effectué de manière légale et en l'absence de liens sociaux et professionnels spécialement intenses avec la Suisse, notablement supérieurs à ceux qui résultent d'une intégration ordinaire, le recourant ne peut pas non plus se prévaloir de l'art. 8 CEDH sous l'angle de la protection de sa vie privée.</w:t>
      </w:r>
    </w:p>
    <w:p>
      <w:r>
        <w:rPr>
          <w:b/>
        </w:rPr>
        <w:t>E. 33</w:t>
      </w:r>
    </w:p>
    <w:p>
      <w:r>
        <w:t>Il ressort de ce qui précède que l'autorité intimée n'a violé ni le droit conventionnel, ni le droit fédéral, ni encore excédé ou abusé de son pouvoir d'appréciation (art. 96 LEI) en refusant de délivrer l'autorisation de séjour sollicitée.</w:t>
      </w:r>
    </w:p>
    <w:p>
      <w:r>
        <w:rPr>
          <w:b/>
        </w:rPr>
        <w:t>E. 34</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(arrêt du</w:t>
      </w:r>
    </w:p>
    <w:p>
      <w:r>
        <w:t>- 19/20 - A/3845/2024 Tribunal administratif fédéral C-4183/2011 du 16 janvier 2012 consid. 3.1 ; ATA/122/2023 du 7 février 2023 consid. 8a). En l’occurrence, dès lors qu’il a refusé de soumettre le dossier du recourant au SEM en vue de la délivrance d’une autorisation de séjour, l'OCPM devait ordonner son renvoi de Suisse. Pour le surplus, aucun élément au dossier ne laisse supposer que l'exécution de cette mesure ne serait pas possible, pas licite ou qu'elle ne pourrait être raisonnablement exigée (art. 83 LEI).</w:t>
      </w:r>
    </w:p>
    <w:p>
      <w:r>
        <w:rPr>
          <w:b/>
        </w:rPr>
        <w:t>E. 35</w:t>
      </w:r>
    </w:p>
    <w:p>
      <w:r>
        <w:t>Entièrement mal fondé, le recours est rejeté.</w:t>
      </w:r>
    </w:p>
    <w:p>
      <w:r>
        <w:rPr>
          <w:b/>
        </w:rPr>
        <w:t>E. 36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37</w:t>
      </w:r>
    </w:p>
    <w:p>
      <w:r>
        <w:t>En vertu des art. 89 al. 2 et 111 al. 2 de la loi sur le Tribunal fédéral du 17 juin 2005 (LTF - RS 173.110), le présent jugement sera communiqué au SEM.</w:t>
      </w:r>
    </w:p>
    <w:p>
      <w:r>
        <w:t>- 20/20 - A/3845/2024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