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JTAPI/345/2024 vom 16. April 2024</w:t>
      </w:r>
    </w:p>
    <w:p>
      <w:r>
        <w:t>GE Cour de justice, 2024-04-16, FR</w:t>
      </w:r>
    </w:p>
    <w:p>
      <w:r>
        <w:rPr>
          <w:b/>
        </w:rPr>
        <w:t xml:space="preserve">Quelle: </w:t>
      </w:r>
      <w:r>
        <w:t>https://mcp.opencaselaw.ch/entscheid/ge_gerichte_JTAPI_345_2024</w:t>
      </w:r>
    </w:p>
    <w:p>
      <w:r>
        <w:t>FR: GE_GERICHTE JTAPI/345/2024 du 16 avril 2024</w:t>
      </w:r>
    </w:p>
    <w:p>
      <w:r>
        <w:t>IT: GE_GERICHTE JTAPI/345/2024 del 16 aprile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À teneur de l'art. 10 al. 2 LCR, nul ne peut conduire un véhicule automobile sans être titulaire d'un permis de conduire. 4. Conformément à l'art. 22 al. 1 LCR, les permis sont délivrés et retirés par l'autorité administrative. Cette compétence appartient au canton de domicile pour les permis de conduire.</w:t>
      </w:r>
    </w:p>
    <w:p>
      <w:r>
        <w:rPr>
          <w:b/>
        </w:rPr>
        <w:t>E. 5</w:t>
      </w:r>
    </w:p>
    <w:p>
      <w:r>
        <w:t>Selon l’art. 5k al.1 de l'ordonnance réglant l’admission des personnes et des véhicules à la circulation routière du 27 octobre 1976 (OAC - RS 741.51), les permis d’élève conducteur et les permis de conduire ainsi que les autorisations de transporter des personnes à titre professionnel ne sont délivrés qu’aux personnes qui résident en Suisse, y séjournent ou qui désirent conduire à titre professionnel des véhicules automobiles immatriculés en Suisse. La notion de domicile au sens de la circulation routière se réfère à celles de résidence et de séjour (arrêt du Tribunal fédéral, 1C_251/2015, consid. 2.1).</w:t>
      </w:r>
    </w:p>
    <w:p>
      <w:r>
        <w:rPr>
          <w:b/>
        </w:rPr>
        <w:t>E. 6</w:t>
      </w:r>
    </w:p>
    <w:p>
      <w:r>
        <w:t>À teneur des directives de l’association des services des automobiles (ci-après : ASA) [n° 1, traitement des véhicules à moteur et des conducteurs en provenance de l’étranger, Traitement des véhicules à moteur et des conducteurs en</w:t>
      </w:r>
    </w:p>
    <w:p>
      <w:r>
        <w:t>- 6/10 - A/3642/2023 provenance de l’étranger (asa.ch) ch. 312], selon les droits international et suisse, les permis de conduire ne doivent être reconnus que s’ils ont été obtenus dans l’État de domicile. Les permis de conduire obtenus à l’étranger par des personnes ayant leur domicile légal en Suisse peuvent être reconnus lorsque le séjour a été d’au moins douze mois consécutifs dans le pays émetteur. Les documents suivants sont valables comme attestation de séjour : inscription/désinscription auprès de l’office des habitants, attestation scolaires ou de travail (séjours linguistiques, études, etc.). En cas de déménagement, on peut tolérer aussi la reconnaissance de permis obtenus dans le précédent État de domicile durant les trois premiers mois suivant l’arrivée en Suisse.</w:t>
      </w:r>
    </w:p>
    <w:p>
      <w:r>
        <w:rPr>
          <w:b/>
        </w:rPr>
        <w:t>E. 7</w:t>
      </w:r>
    </w:p>
    <w:p>
      <w:r>
        <w:t>Dans sa jurisprudence, le Tribunal fédéral considère que les directives de l’ASA peuvent être suivies dans la mesure où elles contiennent des principes qui reproduisent l’opinion d’experts sur l’interprétation de la loi (ATF 120 Ib 305 consid. 4b = JdT 1995 I 697 ; ATF 118 Ib 518 consid. 3b = JdT 1993 I 675).</w:t>
      </w:r>
    </w:p>
    <w:p>
      <w:r>
        <w:rPr>
          <w:b/>
        </w:rPr>
        <w:t>E. 8</w:t>
      </w:r>
    </w:p>
    <w:p>
      <w:r>
        <w:t>L'art. 42 al. 3bis let. a OAC dispose que les conducteurs de véhicules automobiles en provenance de l'étranger qui résident depuis plus de douze mois en Suisse sans avoir séjourné plus de trois mois consécutifs à l'étranger, sont tenus d'obtenir un permis de conduire suisse.</w:t>
      </w:r>
    </w:p>
    <w:p>
      <w:r>
        <w:rPr>
          <w:b/>
        </w:rPr>
        <w:t>E. 9</w:t>
      </w:r>
    </w:p>
    <w:p>
      <w:r>
        <w:t>Selon l'art. 42 al. 4 OAC, ne peut pas être utilisé en Suisse le permis de conduire étranger que le conducteur a obtenu en éludant les dispositions de la présente ordonnance concernant l'obtention du permis de conduire suisse ou les règles de compétence valables dans son pays de domicile.</w:t>
      </w:r>
    </w:p>
    <w:p>
      <w:r>
        <w:rPr>
          <w:b/>
        </w:rPr>
        <w:t>E. 10</w:t>
      </w:r>
    </w:p>
    <w:p>
      <w:r>
        <w:t>D'après l'art. 44 al. 1 OAC, le titulaire d'un permis de conduire étranger valable recevra, sans passer un examen de conduite, un permis de conduire suisse pour la même catégorie de véhicules s'il apporte la preuve, lors d'une course de contrôle, qu'il connaît les règles de la circulation et qu'il est apte à conduire d'une façon sûre. Un tel échange de permis présuppose cependant que le permis de conduire étranger puisse être valablement utilisé en Suisse.</w:t>
      </w:r>
    </w:p>
    <w:p>
      <w:r>
        <w:rPr>
          <w:b/>
        </w:rPr>
        <w:t>E. 11</w:t>
      </w:r>
    </w:p>
    <w:p>
      <w:r>
        <w:t>À teneur de l'art. 45 al. 1 OAC,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w:t>
      </w:r>
    </w:p>
    <w:p>
      <w:r>
        <w:rPr>
          <w:b/>
        </w:rPr>
        <w:t>E. 12</w:t>
      </w:r>
    </w:p>
    <w:p>
      <w:r>
        <w:t>Selon la jurisprudence, élude les règles suisses de compétence celui qui se fait délivrer à l'étranger un permis de conduire qu'il aurait dû obtenir en Suisse et qui a l'intention de l'utiliser en Suisse (ATF 129 II 175 consid. 2.5 = JdT 2003 I 478 ; 109 Ib 205 consid. 4a ; 108 Ib 57 consid. 3a; arrêts du Tribunal fédéral 1C_135/2017 du 7 juin 2017 consid. 2.3.1 1C_30/2014 consid. 3.1 ; 1C_372/2011 du 22 décembre 2011 consid. 2.2). C’est le lieu de rappeler que le permis de conduire étranger que le titulaire a obtenu en éludant les règles suisses de</w:t>
      </w:r>
    </w:p>
    <w:p>
      <w:r>
        <w:t>- 7/10 - A/3642/2023 compétence ne peut être valablement utilisé en Suisse (arrêt du Tribunal fédéral 2A.485/1999 du 8 février 2000 et les références citées consid. 2a). Peu importe que l'intéressé ait éludé ces règles de compétence intentionnellement ou pas. Pour que les art. 42 al. 4 et 45 al. 1 OAC s'appliquent, il suffit que les règles de compétence aient été objectivement éludées. Il n'est pas nécessaire, selon une interprétation littérale du texte clair desdites dispositions, qu'elles aient été éludées, au surplus, avec conscience et volonté (arrêt du Tribunal fédéral 2A.485/1999 précité consid. 2b). Une fois reconnue, l'élusion des règles suisses de compétence au sens de l'art. 45 al. 1 OAC est un vice qui affecte la validité même du permis de conduire, raison pour laquelle l'autorité doit prononcer l'interdiction de conduire et ne dispose pas de marge d'appréciation sur ce point (arrêt du Tribunal fédéral 1C_30/2014 du 7 mars 2014, consid. 3.4). Aucune exception n'est prévue à l'obligation qui est celle du conducteur titulaire d'un permis étranger d'obtenir un permis suisse, dès lors qu'il a son domicile dans ce pays (arrêt du Tribunal fédéral 1C_372/2011 précité consid. 2.4).</w:t>
      </w:r>
    </w:p>
    <w:p>
      <w:r>
        <w:rPr>
          <w:b/>
        </w:rPr>
        <w:t>E. 13</w:t>
      </w:r>
    </w:p>
    <w:p>
      <w:r>
        <w:t>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(art. 22 LPA ; ATF 128 II 139 consid. 2b; arrêt du Tribunal fédéral 8C_96/2020 du</w:t>
      </w:r>
    </w:p>
    <w:p>
      <w:r>
        <w:rPr>
          <w:b/>
        </w:rPr>
        <w:t>E. 15</w:t>
      </w:r>
    </w:p>
    <w:p>
      <w:r>
        <w:t>L’art. 6 al. 5 annexe I de accord du 21 juin 1999 entre la Confédération suisse d'une part, et la Communauté européenne et ses Etats membres, d'autre part, sur la libre circulation des personnes (ALCP - RS 0.142.112.681), selon lequel les interruptions de séjour ne dépassant pas six mois consécutifs ainsi que les absences motivées par l’accomplissement d’obligations militaires n’affectent pas la validité du titre de séjour, prévoit, pour un ressortissant d’un État membre de la communauté européenne au bénéfice d’une autorisation d’établissement UE/AELE et absent de Suisse durant plus de six mois au sens de l’art. 61 al. 2 LEI, une réglementation semblable à celle de la LEI, raison pour laquelle c’est cette dernière qui trouve application (arrêt du Tribunal fédéral 2C_1110/2013 du 17 avril 2014 consid. 3.2 ; ATA/593/2018 du 12 juin 2018 consid. 4a). Selon l’art. 61 al. 1 let. a LEI, l’autorisation prend fin lorsque l’étranger déclare son départ de Suisse. Si un étranger quitte la Suisse sans déclarer son départ, l’autorisation d'établissement prend automatiquement fin après six mois. Cette extinction s’opère de jure (arrêt du Tribunal administratif fédéral F-139/2016 du 11 avril 2017 consid. 5.1), quelles que soient les causes de l’éloignement et les motifs de l’intéressé (ATF 120 Ib 369 consid. 2c) ; peu importe ainsi si le séjour à l'étranger était volontaire ou non (arrêt du Tribunal fédéral 2C_691/2017 du</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- 10/10 - A/3642/2023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