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JTAPI/344/2024 vom 15. April 2024</w:t>
      </w:r>
    </w:p>
    <w:p>
      <w:r>
        <w:t>GE Cour de justice, 2024-04-15, FR</w:t>
      </w:r>
    </w:p>
    <w:p>
      <w:r>
        <w:rPr>
          <w:b/>
        </w:rPr>
        <w:t xml:space="preserve">Quelle: </w:t>
      </w:r>
      <w:r>
        <w:t>https://mcp.opencaselaw.ch/entscheid/ge_gerichte_JTAPI_344_2024</w:t>
      </w:r>
    </w:p>
    <w:p>
      <w:r>
        <w:t>FR: GE_GERICHTE JTAPI/344/2024 du 15 avril 2024</w:t>
      </w:r>
    </w:p>
    <w:p>
      <w:r>
        <w:t>IT: GE_GERICHTE JTAPI/344/2024 del 15 aprile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ATA/99/2020 du 28 janvier 2020 consid. 5b). Il appartient ainsi à l’administré d’établir les faits qui sont de nature à lui procurer un avantage et à l’administration de démontrer l’existence de ceux qui imposent une obligation en sa faveur (ATA/471/2022 du 3 mai 2022 consid. 3d).</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- 12/18 - A/732/2023</w:t>
      </w:r>
    </w:p>
    <w:p>
      <w:r>
        <w:rPr>
          <w:b/>
        </w:rPr>
        <w:t>E. 5</w:t>
      </w:r>
    </w:p>
    <w:p>
      <w:r>
        <w:t>Pour qu'un recours soit - ou demeure - recevable, il faut notamment que son auteur ait un intérêt digne de protection à ce que la décision attaquée soit annulée ou modifiée, ce qui suppose notamment que ledit intérêt soit actuel et pratique (art. 60 al. 1 let b de la loi sur la procédure administrative du 12 septembre 1985 LPA - E 5</w:t>
      </w:r>
    </w:p>
    <w:p>
      <w:r>
        <w:rPr>
          <w:b/>
        </w:rPr>
        <w:t>E. 10</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rPr>
          <w:b/>
        </w:rPr>
        <w:t>E. 11</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l'audition de témoins. En tout état, le recourant a largement eu la possibilité de faire valoir ses arguments dans le cadre de ses recours ainsi que de sa réplique, et de produire tout moyen de preuve utile en annexe à ses écritures. Il a également eu la possibilité de s’exprimer longuement lors de l’audience du 19 décembre 2023. Par conséquent, sa demande d'audition de témoins, en soi non</w:t>
      </w:r>
    </w:p>
    <w:p>
      <w:r>
        <w:t>- 13/18 - A/732/2023 obligatoire, sera rejetée, étant souligné pour le surplus que sa présence à Genève n’est pas, en soi, contestée (cf. infra).</w:t>
      </w:r>
    </w:p>
    <w:p>
      <w:r>
        <w:rPr>
          <w:b/>
        </w:rPr>
        <w:t>E. 12</w:t>
      </w:r>
    </w:p>
    <w:p>
      <w:r>
        <w:t>Le recourant conteste la caducité de son autorisation de séjour prononcée par l’OCPM à compter du 9 juillet 2021.</w:t>
      </w:r>
    </w:p>
    <w:p>
      <w:r>
        <w:rPr>
          <w:b/>
        </w:rPr>
        <w:t>E. 13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dont notamment l’accord du 21 juin 1999 entre la Confédération suisse d’une part, et la Communauté européenne et ses États membres, d’autre part, sur la libre circulation des personnes (ALCP - RS 0.142.112.681).</w:t>
      </w:r>
    </w:p>
    <w:p>
      <w:r>
        <w:rPr>
          <w:b/>
        </w:rPr>
        <w:t>E. 14</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(Directives OLCP-1/2024 éditées par le SEM, chiffre 1.2.3, p. 11). Les conditions au maintien d'une autorisation de séjour étant plus larges selon la LEI, l'art. 61 al. 2 LEI est applicable (ATA/1793/2019 consid. 3b).</w:t>
      </w:r>
    </w:p>
    <w:p>
      <w:r>
        <w:rPr>
          <w:b/>
        </w:rPr>
        <w:t>E. 15</w:t>
      </w:r>
    </w:p>
    <w:p>
      <w:r>
        <w:t>En l’espèce, il n’est pas contesté que la question de savoir si le permis de séjour du recourant est devenu caduc est régie par la LEI, nonobstant sa nationalité espagnole.</w:t>
      </w:r>
    </w:p>
    <w:p>
      <w:r>
        <w:rPr>
          <w:b/>
        </w:rPr>
        <w:t>E. 16</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w:t>
      </w:r>
    </w:p>
    <w:p>
      <w:r>
        <w:rPr>
          <w:b/>
        </w:rPr>
        <w:t>E. 17</w:t>
      </w:r>
    </w:p>
    <w:p>
      <w:r>
        <w:t>Les délais prévus à l’art. 61 al. 2 LEI, ne sont pas interrompus en cas de séjour temporaire en Suisse à des fins de visite, de tourisme ou d’affaires (art. 79 al. 1 OASA).</w:t>
      </w:r>
    </w:p>
    <w:p>
      <w:r>
        <w:rPr>
          <w:b/>
        </w:rPr>
        <w:t>E. 18</w:t>
      </w:r>
    </w:p>
    <w:p>
      <w:r>
        <w:t>L’extinction de l’autorisation de séjour au sens de l’art. 61 LEI s’opère de jure (arrêt du Tribunal administratif fédéral F-139/2016 du 11 avril 2017 consid. 5.1), quelles que soient les causes de l’éloignement et les motifs de l’intéressé (ATF 120 Ib 369</w:t>
      </w:r>
    </w:p>
    <w:p>
      <w:r>
        <w:t>- 14/18 - A/732/2023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rPr>
          <w:b/>
        </w:rPr>
        <w:t>E. 19</w:t>
      </w:r>
    </w:p>
    <w:p>
      <w:r>
        <w:t>Selon la jurisprudence (ATA/431/2024 du 26 mars 2024 consid. 2.5 ; ATA/1793/2019 du 10 décembre 2019 consid. 3c), un étranger titulaire d'une autorisation d'établissement perd cette dernière s'il s'établit en France voisine et y vit comme un frontalier. Cette règle s’applique a fortiori aux autorisations de séjour (ATA/325/2024 du 5 mars 2024).</w:t>
      </w:r>
    </w:p>
    <w:p>
      <w:r>
        <w:rPr>
          <w:b/>
        </w:rPr>
        <w:t>E. 20</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w:t>
      </w:r>
    </w:p>
    <w:p>
      <w:r>
        <w:rPr>
          <w:b/>
        </w:rPr>
        <w:t>E. 21</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22</w:t>
      </w:r>
    </w:p>
    <w:p>
      <w:r>
        <w:t>La chambre administrative de la Cour de justice (ci-après : la chambre administrative) a récemment confirmé la caducité de l’autorisation d’établissement d’un recourant, qui n’avait pas annoncé son départ de Suisse et conservé l’adresse de son logement à Genève, alors qu’il avait en fait déménagé avec sa famille en France voisine où il était propriétaire d’un bien immobilier. La chambre administrative a retenu que le centre d’intérêts du recourant se trouvait, non pas à Genève, mais en France voisine où, partant, il séjournait au sens de la loi (ATA/431/2024 précité). Dans un autre arrêt, la chambre administrative a confirmé la caducité de l’autorisation de séjour d’un recourant et de sa fille dont le centre des intérêts se trouvait, non pas à Genève, où ils louaient un studio, travaillait, respectivement étudiait, mais à Veigy-Foncenex (France) auprès de leur épouse, respectivement mère. C'était donc en France voisine qu'ils séjournaient au sens de la loi (ATA/325/2024 précité).</w:t>
      </w:r>
    </w:p>
    <w:p>
      <w:r>
        <w:rPr>
          <w:b/>
        </w:rPr>
        <w:t>E. 23</w:t>
      </w:r>
    </w:p>
    <w:p>
      <w:r>
        <w:t>Selon la maxime inquisitoire, qui prévaut en particulier en droit public, l’autorité définit les faits pertinents et ne tient pour existants que ceux qui sont dûment</w:t>
      </w:r>
    </w:p>
    <w:p>
      <w:r>
        <w:t>- 15/18 - A/732/2023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2C_728/2020 du</w:t>
      </w:r>
    </w:p>
    <w:p>
      <w:r>
        <w:rPr>
          <w:b/>
        </w:rPr>
        <w:t>E. 25</w:t>
      </w:r>
    </w:p>
    <w:p>
      <w:r>
        <w:t>Par ailleurs, en procédure administrative cantonale, la constatation des faits est gouvernée par le principe de la libre appréciation des preuves (art. 20 al. 1 2ème phr. LPA ; ATF 139 II 185 consid. 9.2 ; arrêt du Tribunal fédéral 2C_668/2011 du 12 avril 2011 consid. 3.3). Le juge forme ainsi librement sa conviction en analysant la force probante des preuves administrées et ce n’est ni le genre, ni le nombre des preuves qui est déterminant, mais leur force de persuasion (ATA/590/2022 du 3 juin 2022 consid. 4a et les références cités).</w:t>
      </w:r>
    </w:p>
    <w:p>
      <w:r>
        <w:rPr>
          <w:b/>
        </w:rPr>
        <w:t>E. 26</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 La décision constatant la caducité d'une autorisation d'établissement est importante au point d'exiger un état de fait clairement établi (ATA/1793/2019 précité, consid. 3d).</w:t>
      </w:r>
    </w:p>
    <w:p>
      <w:r>
        <w:rPr>
          <w:b/>
        </w:rPr>
        <w:t>E. 27</w:t>
      </w:r>
    </w:p>
    <w:p>
      <w:r>
        <w:t>En l’occurrence, le recourant ne saurait être suivi lorsqu’il soutient que les nombreuses pièces qu’il a versées à la procédure sont aptes à démontrer qu’il était effectivement domicilié à Genève, à Q______, durant la période litigieuse, soit entre la date de délivrance de son autorisation de séjour, le 8 juillet 2021 et le prononcé de la décision de caducité contestée.</w:t>
      </w:r>
    </w:p>
    <w:p>
      <w:r>
        <w:t>- 16/18 - A/732/2023 En effet, la mention de son adresse genevoise sur diverses factures, l’immatriculation de son véhicule à Genève, la souscription d’une assurance- maladie et accident ainsi que celle d’une assurance responsabilité civile pour sa voiture en Suisse, la conclusion d’un abonnement de téléphonie mobile en Suisse (AC_____), l’ouverture d’un compte bancaire auprès de l’AE_____ et les relevés bancaires relatifs faisant état de dépenses à Genève, les copies de contraventions établies à son nom en Suisse, ainsi que l’inscription de ses enfants à des cours auprès de l’École arabe de Genève, ne signifient pas encore que le domicile effectif et le centre d’intérêts du recourant se trouvaient à Genève. En tout état, ses adresses genevoises successives ont été fournies par le recourant lui-même à ses cocontractants, sans que ces derniers n’aient en aucune manière à en vérifier l’effectivité. Le tribunal considère au contraire que ces éléments ne suffisent pas à démontrer une prise de domicile effective, avec déplacement du centre d’intérêts du recourant en Suisse. À cet égard, on relèvera notamment que le contrat de bail du 16 juin 2021 conclu avec M. L______, produit à l’appui de la demande de permis de séjour, prévoyait la location d’une chambre meublée, sans jouissance de la cuisine ni de la salle de bains, qu’il devait libérer deux week-ends par mois. De même, le contrat de location conclu avec les époux R______ et S______ le 26 juin 2022, ne portait que sur la location d’une chambre meublée. Ces logements étaient donc inadaptés à une vie familiale et les premières allégations du recourant selon lesquelles c’était sa famille qui se déplaçait pour venir le voir à Genève, au motif que l’appartement de I______ n’avait que deux chambres et ne permettait aucune vie familiale, paraissent peu crédibles. Par ailleurs, il ressort du dossier que le recourant n’a pas informé son employeur de l’époque de son prétendu déménagement en Suisse, l’entreprise J______ ayant en outre déclaré ne jamais avoir signé le formulaire M de demande d’autorisation de séjour avec prise d’emploi du 3 juillet 2021. À cet égard, le recourant n’a pas versé à la procédure, comme annoncé en audience, le courriel qu’il aurait adressé au service des ressources humaines de son employeur pour confirmer son changement d'adresse. Il est à relever également qu’il n’a pas non plus annoncé son départ auprès de la Commune de I______ (France) où il était toujours enregistré, selon courriel du 11 octobre 2022 de la Mairie de I______, comme locataire du logement qu’il lui avait été attribué en 2017. À cela s’ajoute que, selon le rapport d’enquête de l’OCPM daté du 12 octobre 2022, la présence permanente et régulière du recourant à l’adresse suisse qu’il avait communiquée depuis le 26 juin 2022, chez les époux R______ et S______, n’avait pas pu être certifiée. Enfin, le recourant a déclaré à plusieurs reprises durant la procédure, notamment dans son courrier du 23 mai 2023 et lors de l’audience du 19 décembre 2023, qu’il occupait sa chambre à Q______ durant la semaine et retrouvait sa famille en France durant les week-ends, ce qu’il avait également indiqué à l’enquêteur de l’Hospice général rencontré en mars 2023.</w:t>
      </w:r>
    </w:p>
    <w:p>
      <w:r>
        <w:t>- 17/18 - A/732/2023 Ainsi, il ressort du faisceau d’indices qui précède que les deux chambres qu’il a successivement louées à Q______ correspondaient plutôt à des lieux de résidence secondaire, où il se rendait durant la semaine, dans le cadre de l’exercice de son travail ou de sa formation, à l’instar de nombreux frontaliers. Le tribunal retiendra donc que, durant la période concernée (juillet 2021 à juillet 2023), si le recourant travaillait et dormait ponctuellement à Genève, ce qui n’est au demeurant pas contesté, son lieu de vie et le centre de ses intérêts se trouvaient, non pas en Suisse mais bien auprès de sa femme et ses enfants à I______ (France) où il avait conservé son domicile effectif, étant rappelé que ses trois enfants étaient scolarisés et que sa femme travaillait en France, durant la période considérée.</w:t>
      </w:r>
    </w:p>
    <w:p>
      <w:r>
        <w:rPr>
          <w:b/>
        </w:rPr>
        <w:t>E. 28</w:t>
      </w:r>
    </w:p>
    <w:p>
      <w:r>
        <w:t>Au vu de ce qui précède, la décision de l’OCPM prononçant la caducité de l’autorisation de séjour du recourant depuis le 9 juillet 2021, en application de l’art. 61 al. 2 LEI, apparaît conforme au droit et ne consacre aucun abus de pouvoir d’appréciation.</w:t>
      </w:r>
    </w:p>
    <w:p>
      <w:r>
        <w:rPr>
          <w:b/>
        </w:rPr>
        <w:t>E. 29</w:t>
      </w:r>
    </w:p>
    <w:p>
      <w:r>
        <w:t>Pour le surplus, la question de savoir si le recourant remplit désormais les conditions de délivrance d’une autorisation de séjour à Genève ne relève pas de la présente procédure, dont l’objet se limite au prononcé de la caducité du permis de séjour qui lui avait été délivré le 8 juillet 2021. Pour les mêmes raisons, les allégations et offres de preuve postérieures au prononcé de la décision litigieuse ne sont pas pertinentes in casu.</w:t>
      </w:r>
    </w:p>
    <w:p>
      <w:r>
        <w:rPr>
          <w:b/>
        </w:rPr>
        <w:t>E. 30</w:t>
      </w:r>
    </w:p>
    <w:p>
      <w:r>
        <w:t>Il s’ensuit que le recours interjeté le 2 juin 2023, entièrement mal fondé, sera rejeté.</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secrétariat d'État aux migrations.</w:t>
      </w:r>
    </w:p>
    <w:p>
      <w:r>
        <w:t>- 18/18 - A/732/2023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