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JTAPI/340/2024 vom 15. April 2024</w:t>
      </w:r>
    </w:p>
    <w:p>
      <w:r>
        <w:t>GE Cour de justice, 2024-04-15, FR</w:t>
      </w:r>
    </w:p>
    <w:p>
      <w:r>
        <w:rPr>
          <w:b/>
        </w:rPr>
        <w:t xml:space="preserve">Quelle: </w:t>
      </w:r>
      <w:r>
        <w:t>https://mcp.opencaselaw.ch/entscheid/ge_gerichte_JTAPI_340_2024</w:t>
      </w:r>
    </w:p>
    <w:p>
      <w:r>
        <w:t>FR: GE_GERICHTE JTAPI/340/2024 du 15 avril 2024</w:t>
      </w:r>
    </w:p>
    <w:p>
      <w:r>
        <w:t>IT: GE_GERICHTE JTAPI/340/2024 del 15 aprile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Prescription</w:t>
      </w:r>
    </w:p>
    <w:p>
      <w:r>
        <w:t>- 7/17 - A/1588/2023</w:t>
      </w:r>
    </w:p>
    <w:p>
      <w:r>
        <w:rPr>
          <w:b/>
        </w:rPr>
        <w:t>E. 3</w:t>
      </w:r>
    </w:p>
    <w:p>
      <w:r>
        <w:t>Au préalable, il convient de se pencher sur la question de la prescription, dès lors qu’elle doit être examinée d’office lorsqu’elle joue en faveur du contribuable (arrêt du Tribunal fédéral 9C_1/2023 du 26 septembre 2023 consid. 4).</w:t>
      </w:r>
    </w:p>
    <w:p>
      <w:r>
        <w:rPr>
          <w:b/>
        </w:rPr>
        <w:t>E. 4</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L’art. 61 al. 1 et 3 LPFisc pose les mêmes principes.</w:t>
      </w:r>
    </w:p>
    <w:p>
      <w:r>
        <w:rPr>
          <w:b/>
        </w:rPr>
        <w:t>E. 5</w:t>
      </w:r>
    </w:p>
    <w:p>
      <w:r>
        <w:t>En l’occurrence, par plis des 17 janvier et 10 juillet 2018, l’AFC-GE a ouvert à l’encontre de la recourante une procédure en rappel d’impôt pour les années 2011 à 2015, respectivement 2008 à 2010. Le délai décennal des art. 152 al. 1 LIFD et 61 al. 1 LPFisc a ainsi été respecté. Au jour du présent jugement, le délai de quinze ans instauré par les art. 152 al. 3 LIFD et 61 al. 3 LPFisc n’est pas écoulé, de sorte que le droit de l’AFC-GE de procéder au rappel d’impôt n’est pas périmé, hormis cependant s’agissant de l’année 2008. En effet, en ce qui concerne cette période fiscale, la péremption est acquise depuis le 31 décembre 2023.</w:t>
      </w:r>
    </w:p>
    <w:p>
      <w:r>
        <w:rPr>
          <w:b/>
        </w:rPr>
        <w:t>E. 6</w:t>
      </w:r>
    </w:p>
    <w:p>
      <w:r>
        <w:t>Dans un arrêt du 17 août 2021 (2C_1059/2020 consid. 4.1), le Tribunal fédéral a rappelé les règles applicables en matière de prescription de la poursuite pénale :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en relation avec l'ATF 134 IV 328). La prescription était en outre interrompue par tout acte de procédure tendant à la poursuite du contribuable (ancien art. 184 al. 2 LIFD). Pour sa part, la poursuite de la tentative de soustraction se prescrivait par six ans à compter de la clôture définitive de la procédure au cours de laquelle la tentative de soustraction avait été commise (ancien art. 184 al. 1 let. a et al. 2 LIFD).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al. 2 let. a et al. 3 LHID, en vigueur depuis le 1er janvier 2017, a un contenu identique à celui de l'art. 184 LIFD ; il est directement applicable si les cantons n'ont pas adapté leur législation au 1er janvier 2017 (art. 72s LHID). En vertu des art. 205f LIFD et 78f LHID, le nouveau droit est applicable au jugement des infractions commises au cours des périodes fiscales précédant le 1er janvier 2017 s'il est plus favorable que le droit en vigueur au cours de ces périodes fiscales.</w:t>
      </w:r>
    </w:p>
    <w:p>
      <w:r>
        <w:t>- 8/17 - A/1588/2023</w:t>
      </w:r>
    </w:p>
    <w:p>
      <w:r>
        <w:rPr>
          <w:b/>
        </w:rPr>
        <w:t>E. 7</w:t>
      </w:r>
    </w:p>
    <w:p>
      <w:r>
        <w:t>En l’espèce, pour les années visées par la procédure de soustraction d’impôt, à savoir 2009 à 2015, l’AFC-GE a notifié à la recourante des bordereaux d’amende le 24 mai 2019, à savoir moins de dix ans avant la fin de chacune des années fiscales en question. En conséquence, le délai décennal a été sauvegardé. En application du nouveau droit, la poursuite pénale n’est pas prescrite, puisque la prescription ne court plus depuis que l’AFC-GE a amendé la contribuable. En application de l’ancien droit, la prescription n’est pas non plus acquise, étant donné qu’au jour du présent jugement, le délai absolu de quinze ans courant à compter de la fin des périodes fiscales en question n’est pas encore écoulé.</w:t>
      </w:r>
    </w:p>
    <w:p>
      <w:r>
        <w:rPr>
          <w:b/>
        </w:rPr>
        <w:t>E. 8</w:t>
      </w:r>
    </w:p>
    <w:p>
      <w:r>
        <w:t>En résumé, le droit de procéder au rappel d’impôt pour la période 2008 est périmé. Pour le surplus, la prescription n’est pas acquise, ni en tant qu’elle concerne le rappel d’impôt, ni en tant qu’elle se rapporte à la poursuite pénale.</w:t>
      </w:r>
    </w:p>
    <w:p>
      <w:r>
        <w:t>Rappel d’impôt</w:t>
      </w:r>
    </w:p>
    <w:p>
      <w:r>
        <w:rPr>
          <w:b/>
        </w:rPr>
        <w:t>E. 9</w:t>
      </w:r>
    </w:p>
    <w:p>
      <w:r>
        <w:t>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10</w:t>
      </w:r>
    </w:p>
    <w:p>
      <w:r>
        <w:t>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Le rappel d’impôt ne peut porter que sur les points pour lesquels l’autorité fiscale dispose de nouveaux éléments (ATF 144 II 359 consid. 4.5.1).</w:t>
      </w:r>
    </w:p>
    <w:p>
      <w:r>
        <w:rPr>
          <w:b/>
        </w:rPr>
        <w:t>E. 11</w:t>
      </w:r>
    </w:p>
    <w:p>
      <w:r>
        <w:t>Le contribuable doit remplir la formule de déclaration d'impôt de manière conforme à la vérité et complète et y joindre les annexes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w:t>
      </w:r>
    </w:p>
    <w:p>
      <w:r>
        <w:t>- 9/17 - A/1588/2023 entre la déclaration lacunaire et la taxation insuffisante est interrompu et les conditions pour procéder ultérieurement à un rappel d'impôt font défaut. En revanche, des inexactitudes qui ne sont que décelables, sans être flagrantes, ne permettent pas de considérer que certains faits ou moyens de preuve étaient déjà connus des autorités au moment de la taxation (arrêt du Tribunal fédéral 2C_416/2013 du 5 novembre 2013 consid. 8.1 et les réf. citées, non publié aux ATF 140 I 68). De simples soupçons quant à l'inexactitude de la déclaration fiscale sont suffisants pour justifier l'ouverture d'une procédure en rappel d'impôt (arrêt du Tribunal fédéral 2C_760/2017 du 15 juin 2018 consid. 6.4). Dans la procédure de rappel d’impôt, le contribuable doit – à la différence de la procédure de soustraction d’impôt – collaborer régulièrement (arrêt du Tribunal fédéral 2C_223/2008 du 9 février 2009 consid. 2.2).</w:t>
      </w:r>
    </w:p>
    <w:p>
      <w:r>
        <w:rPr>
          <w:b/>
        </w:rPr>
        <w:t>E. 12</w:t>
      </w:r>
    </w:p>
    <w:p>
      <w:r>
        <w:t>En l’espèce, la recourante fait valoir que les conditions permettant d’ouvrir une procédure de rappel d’impôt ne sont pas réunies car, durant toutes les années concernées, elle a régulièrement déposé ses déclarations fiscales. Elle a par ailleurs signé les documents de l’AFC-CH sous la contrainte. Enfin, étant donné que la décision de cette autorité ne comportait aucune voie de droit, elle est entachée de nullité. L’intéressée ne peut être suivie. En effet, elle confond les motifs d’ouverture de la procédure de rappel d’impôt, pour laquelle de simples soupçons sont suffisants, avec le bien-fondé matériel des reprises. Or, le 26 juin 2017, l’AFC-CH a informé l’AFC-GE que A______ avait accordé des prestations appréciables en argent à G______ LTD. Cette communication était de nature à faire naître auprès de l’AFC- GE un soupçon que A______ aurait été taxée sur un bénéfice insuffisant, ce qui justifie l’ouverture des procédures de rappel d’impôt, effectuée les 17 janvier et 10 juillet 2018. Reprises</w:t>
      </w:r>
    </w:p>
    <w:p>
      <w:r>
        <w:rPr>
          <w:b/>
        </w:rPr>
        <w:t>E. 13</w:t>
      </w:r>
    </w:p>
    <w:p>
      <w:r>
        <w:t>La recourante conteste les reprises effectuées par l’AFC-GE au niveau de son bénéfice imposable.</w:t>
      </w:r>
    </w:p>
    <w:p>
      <w:r>
        <w:rPr>
          <w:b/>
        </w:rPr>
        <w:t>E. 14</w:t>
      </w:r>
    </w:p>
    <w:p>
      <w:r>
        <w:t>L’impôt sur le bénéfice a pour objet le bénéfice net (art. 57 LIFD ; art. 11 de la loi genevoise sur l’imposition des personnes morales du 23 septembre 1994 – LIPM – D 3 15).</w:t>
      </w:r>
    </w:p>
    <w:p>
      <w:r>
        <w:rPr>
          <w:b/>
        </w:rPr>
        <w:t>E. 15</w:t>
      </w:r>
    </w:p>
    <w:p>
      <w:r>
        <w:t>Aux termes de l’art. 58 al. 1 let. a, b et c LIFD, le bénéfice net imposable comprend le solde du compte de résultat, compte tenu du solde reporté de l’exercice précédent (let. a) ; tous les prélèvements opérés sur le résultat commercial avant le calcul du solde du compte de résultat qui ne servent pas à couvrir des dépenses justifiées par l’usage commercial tels que, notamment, les amortissements et les provisions qui ne sont pas justifiés par l’usage commercial (let. b) ; les produits qui n’ont pas été comptabilisés dans le compte de résultats, y compris les bénéfices en capital, les bénéfices de réévaluation et de liquidation, sous réserve de l’art. 64 LIFD (let. c).</w:t>
      </w:r>
    </w:p>
    <w:p>
      <w:r>
        <w:t>- 10/17 - A/1588/2023 A contrario, les amortissements et les provisions justifiés par l’usage commercial peuvent être déduits fiscalement (ATF 137 II 353 consid. 6.1).</w:t>
      </w:r>
    </w:p>
    <w:p>
      <w:r>
        <w:rPr>
          <w:b/>
        </w:rPr>
        <w:t>E. 16</w:t>
      </w:r>
    </w:p>
    <w:p>
      <w:r>
        <w:t>Concernant l’ICC, bien que rédigés différemment les art. 11 et 12 LIPM contiennent des règles similaires aux dispositions légales fédérales précitées (ATA/485/2013 et ATA/464/2013 du 30 juillet 2013).</w:t>
      </w:r>
    </w:p>
    <w:p>
      <w:r>
        <w:rPr>
          <w:b/>
        </w:rPr>
        <w:t>E. 17</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Il faut ainsi examiner si la prestation faite par la société aurait été accordée dans la même mesure à un tiers étranger à la société, en d'autres termes si la transaction a respecté le principe de pleine concurrence (« Drittvergleich » ; « dealing at arm's length »). Le droit fiscal suisse ne connaissant pas, sauf disposition légale expresse, de régime spécial pour les groupes de sociétés, les opérations entre sociétés d'un même groupe doivent aussi intervenir comme si elles étaient effectuées entre tiers dans un environnement de libre concurrence (ATF 140 II 88 consid. 4 et 4.1 et les références).</w:t>
      </w:r>
    </w:p>
    <w:p>
      <w:r>
        <w:rPr>
          <w:b/>
        </w:rPr>
        <w:t>E. 18</w:t>
      </w:r>
    </w:p>
    <w:p>
      <w:r>
        <w:t>Dans les cas de prestations appréciables en argent entre sociétés sœurs,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Dans ce contexte, il y a également lieu d'examiner par le biais d'une comparaison avec les tiers pour apprécier si la prestation en cause est à ce point -inhabituelle en comparaison avec les opérations semblables usuelles, que la conclusion s'impose presque qu'elle n'aurait pas été fournie de cette manière si le bénéficiaire n'avait pas été un proche du détenteur de parts (ATF 138 II 57 consid. 4.2 = RDAF 2012 II 299, 304 ; 2C_548/2020 du 3 mai 2021 consid. 2.3).</w:t>
      </w:r>
    </w:p>
    <w:p>
      <w:r>
        <w:rPr>
          <w:b/>
        </w:rPr>
        <w:t>E. 19</w:t>
      </w:r>
    </w:p>
    <w:p>
      <w:r>
        <w:t>S'agissant des règles relatives au fardeau de la preuve,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alors une présomption de l'existence d'une distribution dissimulée de bénéfice et il appartient à la société contribuable d'établir l'exactitude de ses allégations contraires. Le devoir de collaboration du contribuable (art. 124 LIFD) est toutefois particulièrement qualifié dans les relations internationales, dès lors que les moyens d'investigation de l'autorité fiscale suisse sont nécessairement restreints. Il en va notamment ainsi lorsqu'il n'existe pas de convention de double imposition avec un État étranger ou que le droit de l'État étranger favorise la</w:t>
      </w:r>
    </w:p>
    <w:p>
      <w:r>
        <w:t>- 11/17 - A/1588/2023 création de domiciles fictifs de personnes morales (arrêts du Tribunal fédéral 9C_678/2022 du 5 juin 2023 consid. 7.3 et les réf.).</w:t>
      </w:r>
    </w:p>
    <w:p>
      <w:r>
        <w:rPr>
          <w:b/>
        </w:rPr>
        <w:t>E. 20</w:t>
      </w:r>
    </w:p>
    <w:p>
      <w:r>
        <w:t>En l’espèce, G______ Ltd et I______ Ltd d’une part et A______ d’autre part sont des sociétés sœurs. En effet, toutes trois sont détenues en partie par M. C______. Durant les années en cause, le précité détenait la moitié du capital-actions de A______, par l’intermédiaire de D______ Ltd, qu’il contrôle entièrement. En outre, le précité possède une part – non connue – du capital-actions de G______ Ltd et de I______ Ltd, par l’entremise de I______ Ltd. Contrairement à ce que soutient l’AFC-GE, les deux contrats conclus par A______ ne prévoient pas une rémunération forfaitaire. En effet, selon le contrat d’apporteur d’affaires (introducer contract), en contrepartie de la présentation de clients à A______ par G______ Ltd, celle-ci percevrait une commission se montant à 20 % sur l’ensemble des recettes générées par A______. En outre, à teneur du contrat de services (service agreement), A______ s'engage à verser à H______ Ltd 50 % de ses frais de gestion de base annuels qui sont facturés aux clients, déduction faite de toutes les commissions et de tous les débours de tiers. Ces frais peuvent être réduits par des accords entre les parties lorsque les services sont fournis aux clients autrement que par H______ Ltd. Mme B______ a ratifié ces deux contrats au nom de A______.</w:t>
      </w:r>
    </w:p>
    <w:p>
      <w:r>
        <w:rPr>
          <w:b/>
        </w:rPr>
        <w:t>E. 21</w:t>
      </w:r>
    </w:p>
    <w:p>
      <w:r>
        <w:t>En ce qui concerne les années 2009 et 2010, la recourante admet avoir perçu les consultancy fees, ressortant du tableau du 18 avril 2019, puisqu’elle a elle-même produit cette pièce faisant état de ces montants. Ceux-ci se composent des commissions versées à G______ Ltd auxquels s’ajoutent les honoraires payés à H______ Ltd. L’AFC-GE a repris la moitié des totaux respectifs à savoir CHF 219'837.- pour 2009 et CHF 118'028.- pour 2010.</w:t>
      </w:r>
    </w:p>
    <w:p>
      <w:r>
        <w:rPr>
          <w:b/>
        </w:rPr>
        <w:t>E. 22</w:t>
      </w:r>
    </w:p>
    <w:p>
      <w:r>
        <w:t>Les reprises relatives aux années 2011 à 2015 s’élèvent à respectivement CHF 134'216.-, CHF 140'211.-, CHF 223'780.-, CHF 270'996.- et CHF 96'191.- et découlent du rapport de l’AFC-CH du 26 juin 2017. Sans contester ces montants en tant que tels, la recourante fait valoir qu’elle a signé les documents de l’autorité fédérale sous la contrainte. Par ailleurs, dès lors que ces pièces ne comportent pas l’indication des voies de droit, elles sont, selon elle, frappées de nullité. Le Tribunal fédéral a jugé (arrêt 1B_626/2022 du 21 février 2023 consid. 2.2) que d'après un principe général du droit déduit de l'art. 9 de la Constitution fédérale de la Confédération suisse du 18 avril 1999 (Cst. - RS 101) protégeant la bonne foi, le défaut d'indication ou l'indication incomplète ou inexacte des voies de droit ne doit en principe entraîner aucun préjudice pour les parties. Une partie ne peut toutefois se prévaloir de cette protection que si elle se fie de bonne foi à cette indication. Tel n'est pas le cas de celle qui s'est aperçue de l'erreur, ou aurait dû s'en apercevoir en</w:t>
      </w:r>
    </w:p>
    <w:p>
      <w:r>
        <w:t>- 12/17 - A/1588/2023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La recourante ne peut être suivie. En effet, la lettre du 9 juin 2017 et le rapport de la même année ont été envoyés à son représentant de l’époque. Même si par impossible la précitée avait signé sous la contrainte les documents de l’AFC-CH – ce dont elle n’a pas apporté la démonstration – son mandataire aurait été en mesure de contester les reprises. Celui-ci exerçant la profession d’avocat, la recourante ne peut tirer aucun avantage – sous l’angle de la protection de la bonne foi – du fait que les voies de droit ne figuraient pas sur les pièces en question.</w:t>
      </w:r>
    </w:p>
    <w:p>
      <w:r>
        <w:rPr>
          <w:b/>
        </w:rPr>
        <w:t>E. 23</w:t>
      </w:r>
    </w:p>
    <w:p>
      <w:r>
        <w:t>Cela étant, la recourante n’a jamais produit de pièces justificatives qui permettent de calculer les commissions et honoraires dus à G______ Ltd et à H______ Ltd et dont les totaux figurent dans le tableau du 18 avril 2019. L’AFC-GE lui avait pourtant envoyé une demande spécifique en ce sens, le 7 septembre 2018. Les factures que lui ont adressées ces sociétés et qui sont jointes au présent recours, ne sauraient se révéler suffisantes, d’une part parce qu’elles ne couvrent pas la totalité des reprises et que, d’autre part, étant donné qu’elles ne comportent aucun détail, ne mentionnant que le montant réclamé à A______. Dès lors, faute de document probant, il n’est pas possible de déterminer de quelle manière ont été arrêtés les montants des commissions et honoraires figurant dans ledit tableau. En particulier, rien ne démontre qu’ils ont été fixés en conformité des deux contrats susmentionnés. La recourante n’a ainsi pas satisfait à son devoir de collaboration particulièrement élevé puisque G______ Ltd et à H______ Ltd ont leur siège dans une juridiction non fiscalisée. En conséquence, c’est à bon droit que l’AFC-GE a retenu que leurs versements ne pouvaient s’expliquer qu’en raison du lien de proximité entre les parties aux deux contrats. Il s’ensuit que les reprises susmentionnées sont confirmées.</w:t>
      </w:r>
    </w:p>
    <w:p>
      <w:r>
        <w:rPr>
          <w:b/>
        </w:rPr>
        <w:t>E. 24</w:t>
      </w:r>
    </w:p>
    <w:p>
      <w:r>
        <w:t>A______ sollicite le statut de société auxiliaire. En d’autres termes, elle demande à être taxée en application de l’art. 23 LIPM.</w:t>
      </w:r>
    </w:p>
    <w:p>
      <w:r>
        <w:rPr>
          <w:b/>
        </w:rPr>
        <w:t>E. 25</w:t>
      </w:r>
    </w:p>
    <w:p>
      <w:r>
        <w:t>Cette disposition légale, abrogée au 1er janvier 2020, instituait une imposition privilégiée pour les sociétés de capitaux ayant en Suisse une activité administrative, mais pas d'activité commerciale, de même que pour celles dont l'activité commerciale était essentiellement orientée vers l'étranger et qui n’exerçaient en Suisse qu'une activité subsidiaire. Selon la jurisprudence (arrêt du Tribunal fédéral 2C_15/2021 du 27 mai 2021 consid. 5.1 et les références citées),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w:t>
      </w:r>
    </w:p>
    <w:p>
      <w:r>
        <w:t>- 13/17 - A/1588/2023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précisément font l’objet du rappel d’impôt.</w:t>
      </w:r>
    </w:p>
    <w:p>
      <w:r>
        <w:rPr>
          <w:b/>
        </w:rPr>
        <w:t>E. 26</w:t>
      </w:r>
    </w:p>
    <w:p>
      <w:r>
        <w:t>La recourante ne peut être suivie. En effet, elle n’est pas fondée à solliciter l’octroi du statut de société auxiliaire, puisque la présente procédure de rappel d’impôt porte sur une problématique sans lien avec la question précitée. Tout au plus est-elle autorisée à solliciter des déductions en lien avec les reprises. Soustraction d’impôt</w:t>
      </w:r>
    </w:p>
    <w:p>
      <w:r>
        <w:rPr>
          <w:b/>
        </w:rPr>
        <w:t>E. 27</w:t>
      </w:r>
    </w:p>
    <w:p>
      <w:r>
        <w:t>A______ conteste avoir commis une soustraction d’impôt.</w:t>
      </w:r>
    </w:p>
    <w:p>
      <w:r>
        <w:rPr>
          <w:b/>
        </w:rPr>
        <w:t>E. 28</w:t>
      </w:r>
    </w:p>
    <w:p>
      <w:r>
        <w:t>Est notamment puni d’une amende le contribuable qui, intentionnellement ou par négligence, fait en sorte qu’une taxation ne soit pas effectuée, alors qu’elle devrait l’être, ou qu’une taxation entrée en force soit incomplète (art. 175 al. 1 LIFD et 69 al. 1 LPFisc). À teneur des art. 181 al. 1 LIFD et 74 al. 1 LPFisc, lorsque des obligations de procédure ont été violées ou qu’une soustraction ou une tentative de soustraction d’impôt a été commise au profit d’une personne morale, celle-ci est punie d’une amende.</w:t>
      </w:r>
    </w:p>
    <w:p>
      <w:r>
        <w:rPr>
          <w:b/>
        </w:rPr>
        <w:t>E. 29</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(ATA/919/2022 du 13 septembre 2022 consid. 28b et les références citées).</w:t>
      </w:r>
    </w:p>
    <w:p>
      <w:r>
        <w:rPr>
          <w:b/>
        </w:rPr>
        <w:t>E. 30</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31</w:t>
      </w:r>
    </w:p>
    <w:p>
      <w:r>
        <w:t>En l’espèce, de 2009 à 2015, A______ n’a pas déclaré des prestations appréciables en argent accordées à G______ Ltd et à I______ Ltd, qui ont fait l’objet des reprises susmentionnées et qui ont été confirmées. Il en a résulté une taxation insuffisante et donc, une perte fiscale pour la collectivité. Les conditions objectives d’une soustraction d’impôt sont ainsi réalisées.</w:t>
      </w:r>
    </w:p>
    <w:p>
      <w:r>
        <w:rPr>
          <w:b/>
        </w:rPr>
        <w:t>E. 32</w:t>
      </w:r>
    </w:p>
    <w:p>
      <w:r>
        <w:t>Lorsqu’une soustraction d’impôt est commise au profit une personne morale, la faute au sens des art. 175 al. 1 LIFD ne peut être qu’un attribut de la personne physique, soit d’un organe de la personne morale, dont le comportement doit être imputé à celle-ci (arrêt du Tribunal fédéral 2C_11/2018 du 10 décembre 2018 consid. 10.2).</w:t>
      </w:r>
    </w:p>
    <w:p>
      <w:r>
        <w:rPr>
          <w:b/>
        </w:rPr>
        <w:t>E. 33</w:t>
      </w:r>
    </w:p>
    <w:p>
      <w:r>
        <w:t>La soustraction est punissable aussi bien intentionnellement que par négligence. La notion de négligence de l’art. 175 LIFD et de l’art. 56 LHID est identique à celle de</w:t>
      </w:r>
    </w:p>
    <w:p>
      <w:r>
        <w:t>- 14/17 - A/1588/2023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w:t>
      </w:r>
    </w:p>
    <w:p>
      <w:r>
        <w:rPr>
          <w:b/>
        </w:rPr>
        <w:t>E. 34</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w:t>
      </w:r>
    </w:p>
    <w:p>
      <w:r>
        <w:rPr>
          <w:b/>
        </w:rPr>
        <w:t>E. 35</w:t>
      </w:r>
    </w:p>
    <w:p>
      <w:r>
        <w:t>En l’espèce, Mme B______ a signé le contrat d’apporteur d’affaires et celui de services, conclus avec respectivement G______ Ltd et I______ Ltd. Au cours des années litigieuses, elle était administratrice de A______ et disposait de la signature individuelle. Elle ne pouvait pas ignorer le montant des commissions et des honoraires que la recourante versait à ses deux co-contractants. En remettant à l’AFC-GE des déclarations fiscales non conformes à la vérité, elle a commis une faute, qui doit être attribuée à A______. L’autorité intimée a retenu que celle-ci ne s’était rendue coupable que d’une simple négligence. Le tribunal ne remettra pas en cause cette qualification.</w:t>
      </w:r>
    </w:p>
    <w:p>
      <w:r>
        <w:rPr>
          <w:b/>
        </w:rPr>
        <w:t>E. 36</w:t>
      </w:r>
    </w:p>
    <w:p>
      <w:r>
        <w:t>Il résulte de ce qui précède que les conditions objective et subjective d’une soustraction d’impôt sont remplies en l’espèce. Partant, le prononcé d’une amende à l’encontre de A______ se justifie. Il convient d’examiner sa quotité.</w:t>
      </w:r>
    </w:p>
    <w:p>
      <w:r>
        <w:rPr>
          <w:b/>
        </w:rPr>
        <w:t>E. 37</w:t>
      </w:r>
    </w:p>
    <w:p>
      <w:r>
        <w:t>Le montant de l’impôt soustrait constitue le premier élément de fixation de la peine. Celle-ci doit ensuite être fixée selon le degré de faute de l’auteur. En présence d’une</w:t>
      </w:r>
    </w:p>
    <w:p>
      <w:r>
        <w:t>- 15/17 - A/1588/2023 infraction intentionnelle sans circonstances particulières, l’amende équivaut en règle générale au montant de l’impôt soustrait (ATF 144 IV 136 consid. 7.2.1). 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w:t>
      </w:r>
    </w:p>
    <w:p>
      <w:r>
        <w:rPr>
          <w:b/>
        </w:rPr>
        <w:t>E. 38</w:t>
      </w:r>
    </w:p>
    <w:p>
      <w:r>
        <w:t>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w:t>
      </w:r>
    </w:p>
    <w:p>
      <w:r>
        <w:rPr>
          <w:b/>
        </w:rPr>
        <w:t>E. 39</w:t>
      </w:r>
    </w:p>
    <w:p>
      <w:r>
        <w:t>En l’espèce, à titre de circonstance atténuante, l’autorité intimée a retenu la bonne collaboration de la recourante. À titre de circonstance aggravante, il convient de retenir que la précitée a commis des soustractions durant sept années fiscales. Par ailleurs, ainsi qu’il résulte du tableau ci-dessous, les reprises se révèlent très importantes, en regard des résultats très faibles déclarés par la contribuable lors des années en cause : celle-ci a ainsi soustraits des montants très importants. Années Reprises Résultat déclaré 2009 219'837 1'653 2010 118'028 -4'441 2011 134'216 5'598 2012 140'211 4'059 2013 223'780 2'990 2014 270'996 23'531 2015 96'191 -12'355</w:t>
      </w:r>
    </w:p>
    <w:p>
      <w:r>
        <w:t>- 16/17 - A/1588/2023 En résumé, les circonstances aggravantes l’emportent sur l’unique circonstance atténuante. Partant, des amendes dont la quotité se montent à 0.5 fois les impôts soustraits se révèlent conformes aux principes applicables en la matière.</w:t>
      </w:r>
    </w:p>
    <w:p>
      <w:r>
        <w:rPr>
          <w:b/>
        </w:rPr>
        <w:t>E. 40</w:t>
      </w:r>
    </w:p>
    <w:p>
      <w:r>
        <w:t>Il résulte de ce qui précède que le recours doit être admis partiellement, dans le sens des considérants.</w:t>
      </w:r>
    </w:p>
    <w:p>
      <w:r>
        <w:rPr>
          <w:b/>
        </w:rPr>
        <w:t>E. 41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900.- ; il est partiellement couvert par l’avance de frais de CHF 700.- versée à la suite du dépôt du recours. Aucune indemnité de procédure ne sera allouée (art. 87 al. 2 LPA).</w:t>
      </w:r>
    </w:p>
    <w:p>
      <w:r>
        <w:t>- 17/17 - A/1588/2023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