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JTAPI/331/2025 vom 18. März 2025</w:t>
      </w:r>
    </w:p>
    <w:p>
      <w:r>
        <w:t>GE Cour de justice, 2025-03-18, FR</w:t>
      </w:r>
    </w:p>
    <w:p>
      <w:r>
        <w:rPr>
          <w:b/>
        </w:rPr>
        <w:t xml:space="preserve">Quelle: </w:t>
      </w:r>
      <w:r>
        <w:t>https://mcp.opencaselaw.ch/entscheid/ge_gerichte_JTAPI_331_2025</w:t>
      </w:r>
    </w:p>
    <w:p>
      <w:r>
        <w:t>FR: GE_GERICHTE JTAPI/331/2025 du 18 mars 2025</w:t>
      </w:r>
    </w:p>
    <w:p>
      <w:r>
        <w:t>IT: GE_GERICHTE JTAPI/331/2025 del 18 marzo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2.1</w:t>
      </w:r>
    </w:p>
    <w:p>
      <w:r>
        <w:t>;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w:t>
      </w:r>
    </w:p>
    <w:p>
      <w:r>
        <w:rPr>
          <w:b/>
        </w:rPr>
        <w:t>E. 3</w:t>
      </w:r>
    </w:p>
    <w:p>
      <w:r>
        <w:t>La LaLEtr, qui n'a pas été mise à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w:t>
      </w:r>
    </w:p>
    <w:p>
      <w:r>
        <w:rPr>
          <w:b/>
        </w:rPr>
        <w:t>E. 8</w:t>
      </w:r>
    </w:p>
    <w:p>
      <w:r>
        <w:t>Lorsqu’une personne est placée en rétention en vertu du présent article, le délai de présentation d’une requête aux fins de prise en charge ou de reprise en charge ne dépasse pas un mois à compter de l’introduction de la demande. L’État membre qui mène la procédure conformément au présent règlement demande dans ce cas une réponse urgente. Cette réponse est donnée dans un délai de deux semaines à partir de la réception de la requête. L’absence de réponse à l’expiration de ce délai de deux semaines équivaut à l’acceptation de la requête et entraîne l’obligation de prendre ou de reprendre en charge la personne, y compris l’obligation d’assurer la bonne organisation de son arrivée.</w:t>
      </w:r>
    </w:p>
    <w:p>
      <w:r>
        <w:rPr>
          <w:b/>
        </w:rPr>
        <w:t>E. 9</w:t>
      </w:r>
    </w:p>
    <w:p>
      <w:r>
        <w:t>Lorsqu’une personne est placée en rétention en vertu du présent article, son transfert de l’État membre requérant vers l’État membre responsable est effectué dès qu’il est matériellement possible et au plus tard dans un délai de six semaines à compter de l’acceptation implicite ou explicite par un autre État membre de la requête aux fins de prise en charge ou de reprise en charge de la personne concernée ou à compter du moment où le recours ou la révision n’a plus d’effet suspensif conformément à l’art. 27, paragraphe 3 (ch.3).</w:t>
      </w:r>
    </w:p>
    <w:p>
      <w:r>
        <w:rPr>
          <w:b/>
        </w:rPr>
        <w:t>E. 10</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w:t>
      </w:r>
    </w:p>
    <w:p>
      <w:r>
        <w:rPr>
          <w:b/>
        </w:rPr>
        <w:t>E. 11</w:t>
      </w:r>
    </w:p>
    <w:p>
      <w:r>
        <w:t>Selon l'art. 76a al. 2 LEI, les éléments concrets suivants font craindre que l'étranger entende se soustraire à l'exécution du renvoi : son comportement en Suisse ou à l'étranger permet de conclure qu'il refuse d'obtempérer aux instructions des autorités (let. b), il quitte la région qui lui est assignée ou pénètre dans une zone qui lui est interdite en vertu de l'art. 74 (let d), qu’il a été condamné pour crime (let. h).</w:t>
      </w:r>
    </w:p>
    <w:p>
      <w:r>
        <w:rPr>
          <w:b/>
        </w:rPr>
        <w:t>E. 12</w:t>
      </w:r>
    </w:p>
    <w:p>
      <w:r>
        <w:t>Les motifs énumérés, de manière exhaustive, à l'art. 76a al. 2 LEI correspondent en principe à ceux déjà retenus aux art. 75 et 76 LEI (Gregor CHATTON/ Laurent MERZ in Code annoté de droit des migrations, volume II : loi sur les étrangers, n° 2.5 ad art. 76a, p. 808).</w:t>
      </w:r>
    </w:p>
    <w:p>
      <w:r>
        <w:rPr>
          <w:b/>
        </w:rPr>
        <w:t>E. 13</w:t>
      </w:r>
    </w:p>
    <w:p>
      <w:r>
        <w:t>Par crime, au sens de l'art. 76a al. 2 let. h LEI, il faut entendre une infraction passible d'une peine privative de liberté de plus de trois ans (cf. art. 10 al. 2 CP; ATA/295/2011 du 12 mai 2011 consid. 4 relatif à l'art. 75 al. 1 let. h LEI, dont la teneur est identique).</w:t>
      </w:r>
    </w:p>
    <w:p>
      <w:r>
        <w:rPr>
          <w:b/>
        </w:rPr>
        <w:t>E. 14</w:t>
      </w:r>
    </w:p>
    <w:p>
      <w:r>
        <w:t>Comme toute mesure étatique, la détention administrative en matière de droit des étrangers doit dans tous les cas respecter le principe de la proportionnalité (cf. art. 5 al. 2 et 36 Cst. et art. 76a al. 1 let. b et c LEtr ; arrêts du Tribunal</w:t>
      </w:r>
    </w:p>
    <w:p>
      <w:r>
        <w:t>- 5/7 - A/1073/2025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A/1073/2025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