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JTAPI/330/2024 vom 12. April 2024</w:t>
      </w:r>
    </w:p>
    <w:p>
      <w:r>
        <w:t>GE Cour de justice, 2024-04-12, FR</w:t>
      </w:r>
    </w:p>
    <w:p>
      <w:r>
        <w:rPr>
          <w:b/>
        </w:rPr>
        <w:t xml:space="preserve">Quelle: </w:t>
      </w:r>
      <w:r>
        <w:t>https://mcp.opencaselaw.ch/entscheid/ge_gerichte_JTAPI_330_2024</w:t>
      </w:r>
    </w:p>
    <w:p>
      <w:r>
        <w:t>FR: GE_GERICHTE JTAPI/330/2024 du 12 avril 2024</w:t>
      </w:r>
    </w:p>
    <w:p>
      <w:r>
        <w:t>IT: GE_GERICHTE JTAPI/330/2024 del 12 aprile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- 5/10 - A/590/2023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w:t>
      </w:r>
    </w:p>
    <w:p>
      <w:r>
        <w:rPr>
          <w:b/>
        </w:rPr>
        <w:t>E. 5</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et se procurer une pièce de légitimation (art. 89) ou collaborer avec les autorités pour en obtenir une (let. c).</w:t>
      </w:r>
    </w:p>
    <w:p>
      <w:r>
        <w:rPr>
          <w:b/>
        </w:rPr>
        <w:t>E. 6</w:t>
      </w:r>
    </w:p>
    <w:p>
      <w:r>
        <w:t>La procédure administrative est régie par la maxime inquisitoire selon laquelle le juge établit les faits d’office (art. 19 LPA). Mais ce principe n’est pas absolu, sa</w:t>
      </w:r>
    </w:p>
    <w:p>
      <w:r>
        <w:t>- 6/10 - A/590/2023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ATA/860/2015 du 25 août 2015 consid. 12 ; ATA/792/2012 du 20 novembre 2012 consid. 6a).</w:t>
      </w:r>
    </w:p>
    <w:p>
      <w:r>
        <w:rPr>
          <w:b/>
        </w:rPr>
        <w:t>E. 7</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w:t>
      </w:r>
    </w:p>
    <w:p>
      <w:r>
        <w:rPr>
          <w:b/>
        </w:rPr>
        <w:t>E. 8</w:t>
      </w:r>
    </w:p>
    <w:p>
      <w:r>
        <w:t>Selon l’art. 44 al. 1 de la loi fédérale sur les étrangers et l’intégration du 16 décembre 2005 (LEI – RS 142.20), le conjoint étranger du titulaire d’une autorisation de séjour ainsi que ses enfants célibataires étrangers de moins de 18 ans peuvent obtenir une autorisation de séjour et la prolongation de celle-ci aux conditions suivantes : a. ils vivent en ménage commun avec lui ; b. ils disposent d’un logement approprié ; c. ils ne dépendent pas de l’aide sociale ; d. ils sont aptes à communiquer dans la langue nationale parlée au lieu de domicile; e.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Ces conditions sont cumulatives (arrêt du Tribunal administratif fédéral C- 367/2015 du 11 février 2016 consid. 5.2) et doivent être impérativement remplies pour qu'une autorisation de séjour puisse être accordée dans ce cadre (arrêt du Tribunal fédéral 2C_345/2009 du 22 octobre 2009). En outre, cette disposition légale, par sa formulation potestative, ne confère pas, en tant que telle, un droit à une autorisation de séjour, l'octroi d'une telle autorisation étant laissé à l'appréciation de l'autorité (ATF 139 I 330 consid. 1.2 ; 137 I 284 consid. 2.3.2). Ainsi, il n'existe aucun droit au regroupement familial et les cantons peuvent soumettre l'octroi de l'autorisation à des conditions plus sévères (Directives et</w:t>
      </w:r>
    </w:p>
    <w:p>
      <w:r>
        <w:t>- 7/10 - A/590/2023 commentaires du SEM (domaine des étrangers, octobre 2013, état au 1er janvier 2023, p. 121 ch. 6.4 ; ci-après : Directives LEI).</w:t>
      </w:r>
    </w:p>
    <w:p>
      <w:r>
        <w:rPr>
          <w:b/>
        </w:rPr>
        <w:t>E. 9</w:t>
      </w:r>
    </w:p>
    <w:p>
      <w:r>
        <w:t>La famille doit disposer d’un logement approprié (art. 44 al. 1 let. b LEI). Un logement est considéré comme approprié lorsqu’il permet de loger toute la famille sans être surpeuplé. Il faut que le logement suffise pour tous les membres de la famille. Une partie des autorités cantonales compétentes en matière d’étrangers se fonde sur le critère du nombre de pièces (nombre de personnes - 1 = taille minimale du logement) (Directives LEI, p. 113 ch. 6.1.4 et p. 121 ch. 6.4.1.2).</w:t>
      </w:r>
    </w:p>
    <w:p>
      <w:r>
        <w:rPr>
          <w:b/>
        </w:rPr>
        <w:t>E. 10</w:t>
      </w:r>
    </w:p>
    <w:p>
      <w:r>
        <w:t>Les moyens financiers doivent permettre aux membres de la famille de subvenir à leurs besoins sans dépendre de l’aide sociale (art. 44 al. 1 let. c LEI). Les moyens financiers doivent au moins correspondre aux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En outre, la personne qui demande le regroupement familial ne doit percevoir aucunes prestations complémentaires, ni en percevoir dans un proche avenir en raison de la réunion familiale (art. 44 al. 1 let. e LEI) (Directives LEI, p. 121 ch. 6.4.1.3).</w:t>
      </w:r>
    </w:p>
    <w:p>
      <w:r>
        <w:rPr>
          <w:b/>
        </w:rPr>
        <w:t>E. 11</w:t>
      </w:r>
    </w:p>
    <w:p>
      <w:r>
        <w:t>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arrêts du Tribunal fédéral 2C_95/2019 du 13 mai 2019 consid. 3.4.1 ; 2C_1018/2016 du 22 mai 2017 consid. 3.1 ; ATA/1331/2020 du 22 décembre 2020 consid. 3b).</w:t>
      </w:r>
    </w:p>
    <w:p>
      <w:r>
        <w:rPr>
          <w:b/>
        </w:rPr>
        <w:t>E. 12</w:t>
      </w:r>
    </w:p>
    <w:p>
      <w:r>
        <w:t>Concernant les compétences linguistiques, selon les directives LEI (6.4.1.4) le conjoint candidat au regroupement familial doit pouvoir se faire comprendre dans la langue nationale parlée au lieu de domicile. Il doit justifier d’un niveau A1 à l’oral au minimum (art. 44 al. 1 let. d LEI). S’il ne justifie pas encore de ce niveau (A1 à l’oral), il apportera la preuve d’une inscription à une offre d’encouragement linguistique lui permettant d’acquérir au moins ce niveau (art. 44 al. 2 LEI en relation avec l’art. 73a al.1 OASA). L’attestation d’inscription doit être présentée au plus tard lors de l’annonce d’arrivée en Suisse.</w:t>
      </w:r>
    </w:p>
    <w:p>
      <w:r>
        <w:rPr>
          <w:b/>
        </w:rPr>
        <w:t>E. 13</w:t>
      </w:r>
    </w:p>
    <w:p>
      <w:r>
        <w:t>En l’espèce, aucune information ni pièce complémentaire n’a été transmise depuis le 30 mai 2023 par le recourant, alors que le tribunal lui a donné l’occasion de se déterminer suite à la reprise de l’instruction de la cause du 22 janvier 2024 – la</w:t>
      </w:r>
    </w:p>
    <w:p>
      <w:r>
        <w:t>- 8/10 - A/590/2023 suspension de six mois de l’instruction de la procédure ayant été prononcée afin de permettre au recourant de confirmer le caractère effectif et pérenne des différentes sources de revenu du couple, voire de sa capacité à augmenter leurs revenus. Le tribunal statuera ainsi en l’état du dossier et sur les pièces en sa possession. Il en ressort que le recourant n’exerce aucune activité lucrative et n’a pas prouvé avoir acquis des connaissances de français – aucun indication sur le suivi effectif des cours de français semi-intensifs dont il était fait référence dans ses écritures du</w:t>
      </w:r>
    </w:p>
    <w:p>
      <w:r>
        <w:rPr>
          <w:b/>
        </w:rPr>
        <w:t>E. 17</w:t>
      </w:r>
    </w:p>
    <w:p>
      <w:r>
        <w:t>Par ailleurs, le dossier ne fait pas apparaitre que l’exécution du renvoi ne serait pas possible, pas licite ou ne pourrait pas être raisonnablement exigée au sens de l’art. 83 LEI.</w:t>
      </w:r>
    </w:p>
    <w:p>
      <w:r>
        <w:rPr>
          <w:b/>
        </w:rPr>
        <w:t>E. 18</w:t>
      </w:r>
    </w:p>
    <w:p>
      <w:r>
        <w:t>Au vu de ce qui précède, le recours sera rejeté.</w:t>
      </w:r>
    </w:p>
    <w:p>
      <w:r>
        <w:t>- 9/10 - A/590/2023</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w:t>
      </w:r>
    </w:p>
    <w:p>
      <w:r>
        <w:rPr>
          <w:b/>
        </w:rPr>
        <w:t>E. 20</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21</w:t>
      </w:r>
    </w:p>
    <w:p>
      <w:r>
        <w:t>En vertu des art. 89 al. 2 et 111 al. 2 de la loi sur le Tribunal fédéral du 17 juin 2005 (LTF - RS 173.110), le présent jugement sera communiqué au secrétariat d'État aux migrations.</w:t>
      </w:r>
    </w:p>
    <w:p>
      <w:r>
        <w:t>- 10/10 - A/590/2023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