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JTAPI/330/2021 vom 29. Mai 2013</w:t>
      </w:r>
    </w:p>
    <w:p>
      <w:r>
        <w:t>GE Cour de justice, 2013-05-29, FR</w:t>
      </w:r>
    </w:p>
    <w:p>
      <w:r>
        <w:rPr>
          <w:b/>
        </w:rPr>
        <w:t xml:space="preserve">Quelle: </w:t>
      </w:r>
      <w:r>
        <w:t>https://mcp.opencaselaw.ch/entscheid/ge_gerichte_JTAPI_330_2021</w:t>
      </w:r>
    </w:p>
    <w:p>
      <w:r>
        <w:t>FR: GE_GERICHTE JTAPI/330/2021 du 29 mai 2013</w:t>
      </w:r>
    </w:p>
    <w:p>
      <w:r>
        <w:t>IT: GE_GERICHTE JTAPI/330/2021 del 29 maggio 2013</w:t>
      </w:r>
    </w:p>
    <w:p>
      <w:pPr>
        <w:pStyle w:val="Heading2"/>
      </w:pPr>
      <w:r>
        <w:t>Erwägungen</w:t>
      </w:r>
    </w:p>
    <w:p>
      <w:r>
        <w:rPr>
          <w:b/>
        </w:rPr>
        <w:t>E. 1</w:t>
      </w:r>
    </w:p>
    <w:p>
      <w:r>
        <w:t>Interjeté en temps utile et dans les formes prescrites devant la juridiction compétente (art. 115 al. 2 et 116 al. 1 de la loi sur l’organisation judiciaire du 26 septembre 2010 - LOJ - E 2 05 ; art. 45 al. 1 LDTR), le recours est recevable (art. 57, 60 et 62 à 65 de la loi sur la procédure administrative du 12 septembre 1985 - LPA - E 5 10).</w:t>
      </w:r>
    </w:p>
    <w:p>
      <w:r>
        <w:rPr>
          <w:b/>
        </w:rPr>
        <w:t>E. 2</w:t>
      </w:r>
    </w:p>
    <w:p>
      <w:r>
        <w:t>Selon l'art. 61 al. 1 LPA, le recours peut être formé pour violation du droit, y compris l'excès et l'abus du pouvoir d'appréciation (let. a), ou pour constatation inexacte ou incomplète des faits pertinents (let. b). En revanche, les juridictions</w:t>
      </w:r>
    </w:p>
    <w:p>
      <w:r>
        <w:t>- 13/21 - A/1824/2020 administratives n'ont pas compétence pour apprécier l'opportunité de la décision attaquée, sauf exception prévue par la loi (art. 61 al. 2 LPA), en soi non réalisée dans le cas d'espèce.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être liée, alors que la loi l'autorise à statuer selon son appréciation, ou qu'elle renonce d'emblée, en tout ou partie, à exercer son pouvoir d'appréciation (ATF 137 V 71 consid. 5.1 ; 116 V 307 consid. 2 et les références citées ; arrêts du Tribunal fédéral 5A_472/2016 du 14 février 2017 consid. 5.1.2 ; 1C_263/2013 du 14 mai 2013 consid. 3.1), par exemple en appliquant des solutions trop schématiques ne tenant pas compte des particularités des cas d'espèce, que l'octroi du pouvoir d'appréciation avait justement pour but de prendre en considération ; on peut alors estimer qu'en refusant d'appliquer les critères de décision prévus explicitement ou implicitement par la loi, l'autorité viole directement celle-ci (cf. Thierry TANQUEREL, Manuel de droit administratif, 2018, n. 514 p. 179).</w:t>
      </w:r>
    </w:p>
    <w:p>
      <w:r>
        <w:rPr>
          <w:b/>
        </w:rPr>
        <w:t>E. 3</w:t>
      </w:r>
    </w:p>
    <w:p>
      <w:r>
        <w:t>Les arguments formulés par les parties à l'appui de leurs conclusions respectives seront repris et discutés dans la mesure utile (cf. not.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lié ni par les motifs invoqués par celles-ci (art. 69 al. 1 LPA), ni par leur argumentation juridique (cf. not. ATA/386/2018 du 24 avril 2018 consid. 1b ; ATA/117/2016 du 9 février 2016 consid. 2 ; ATA/723/2015 du 14 juillet 2015 consid. 4a). Aussi peut-il admettre le recours pour d'autres motifs que ceux invoqués par le recourant, comme il peut le rejeter en opérant une substitution de motifs (cf. ATF 135 III 397 consid. 1.4 ; arrêts du Tribunal fédéral 2C_540/2013 du 5 décembre 2013 consid. 3 ; 2C_349/2012 du 18 mars 2013 consid. 2.1 ; arrêt du Tribunal administratif fédéral F-1734/2019 du 23 mars 2020 consid. 2).</w:t>
      </w:r>
    </w:p>
    <w:p>
      <w:r>
        <w:rPr>
          <w:b/>
        </w:rPr>
        <w:t>E. 4</w:t>
      </w:r>
    </w:p>
    <w:p>
      <w:r>
        <w:t>Le droit d'être entendu garanti par l'art. 29 al. 2 de la Constitution fédérale de la Confédération suisse du 18 avril 1999 (Cst. - RS 101) comprend notamment le</w:t>
      </w:r>
    </w:p>
    <w:p>
      <w:r>
        <w:t>- 14/21 - A/1824/2020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142 II 218 consid. 2.3 et les références citées). Le droit de faire administrer des preuves suppose que le fait à prouver soit pertinent, que le moyen de preuve proposé soit nécessaire pour constater ce fait et que la demande soit présentée selon les formes et délais prescrits par le droit cantonal (ATF 134 I 140 consid. 5.3). Il n'empêche toutefois pas le juge de renoncer à procéder à des mesures d'instruction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(ATF 140 I 285 consid. 6.3.1 et les références citées).</w:t>
      </w:r>
    </w:p>
    <w:p>
      <w:r>
        <w:rPr>
          <w:b/>
        </w:rPr>
        <w:t>E. 5</w:t>
      </w:r>
    </w:p>
    <w:p>
      <w:r>
        <w:t>En l'occurrence, le dossier contient les éléments utiles et nécessaires permettant au tribunal de trancher le litige, de sorte qu'il n'y a pas lieu de donner suite aux offres de preuves formulées par les recourants, tendant à l’apport de l’intégralité du dossier du DT relatif à la DD 2______ et à la production, par C_____, des baux et avis de fixation des loyers initiaux relatifs à tous les appartements sis au rez-de- chaussée de l’immeuble litigieux.</w:t>
      </w:r>
    </w:p>
    <w:p>
      <w:r>
        <w:rPr>
          <w:b/>
        </w:rPr>
        <w:t>E. 6</w:t>
      </w:r>
    </w:p>
    <w:p>
      <w:r>
        <w:t>La LDTR a pour but de préserver l’habitat et les conditions de vie existants, ainsi que le caractère actuel de l’habitat dans les zones visées à l’art. 2 LDTR (art. 1 al. 1 LDTR). Elle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 Le DT accorde l'autorisation si les logements transformés répondent, quant à leur genre, leur loyer ou leur prix, aux besoins prépondérants de la population (art. 9 al. 2 1ère phr. LDTR). Par transformation, on entend tous les travaux qui ont notamment pour objet la création de nouveaux logements (art. 3 al. 1 let. b LDTR). Plus spécifiquement, la LDTR vise à éviter la disparition de logements à usage locatif et correspond à un intérêt public évident (ATA/1343/2020 du 22 décembre 2020 consid. 3a et les arrêts cités).</w:t>
      </w:r>
    </w:p>
    <w:p>
      <w:r>
        <w:rPr>
          <w:b/>
        </w:rPr>
        <w:t>E. 7</w:t>
      </w:r>
    </w:p>
    <w:p>
      <w:r>
        <w:t>En vertu de l'art. 10 al. 1 LDTR, le DT fixe, comme condition de l'autorisation, le montant maximum des loyers des logements après travaux. Il tient compte des critères énumérés à l'art. 11 LDTR (« mode de calcul »). Les loyers et les prix de vente maximaux ainsi fixés sont soumis au contrôle de l’Etat, pendant une période de cinq à dix ans pour les constructions nouvelles et pendant une période de trois ans pour les immeubles transformés ou rénovés,</w:t>
      </w:r>
    </w:p>
    <w:p>
      <w:r>
        <w:t>- 15/21 - A/1824/2020 durée qui peut être portée à cinq ans en cas de transformation lourde (art. 12 LDTR).</w:t>
      </w:r>
    </w:p>
    <w:p>
      <w:r>
        <w:rPr>
          <w:b/>
        </w:rPr>
        <w:t>E. 8</w:t>
      </w:r>
    </w:p>
    <w:p>
      <w:r>
        <w:t>L’art. 1 RGL définit la façon de calculer le nombre de pièces des logements soumis à la LGL. Selon la jurisprudence constante de la chambre administrative de la Cour de justice (ci-après : la chambre administrative), appliquée également dans des cas d’immeubles anciens (ATA/645/2012 du 25 septembre 2012 consid. 7 ; ATA/567/2005 du 16 août 2005 consid. 21), il est possible d’appliquer cette disposition, par analogie, au calcul du nombre de pièces selon la LDTR, les buts poursuivis par la LDTR et la LGL relevant d’un même souci de préserver l’habitat et de lutter contre la pénurie de logements à Genève (cf. not. ATA/350/2018 du 17 avril 2018 consid. 9b ; ATA/1586/2017 du 12 décembre 2017 consid. 3d ; ATA/1440/2017 du 31 octobre 2017 consid. 5b ; ATA/673/2017 du 20 juin 2017 consid. 3 et 4 ; ATA/1097/2017 du 18 juillet 2017 consid. 3 ; ATA/334/2014 du</w:t>
      </w:r>
    </w:p>
    <w:p>
      <w:r>
        <w:rPr>
          <w:b/>
        </w:rPr>
        <w:t>E. 13</w:t>
      </w:r>
    </w:p>
    <w:p>
      <w:r>
        <w:t>Vu l’issue du litige, un émolument de CHF 500.- sera mis à la charge des recourants et de C______, qui n'obtiennent chacun que partiellement gain de cause (art. 87 al. 1 LPA et 1 et 2 du règlement sur les frais, émoluments et indemnités en procédure administrative du 30 juillet 1986 - RFPA - E 5 10.03). Dans ces circonstances, il n'y pas lieu d'allouer une indemnité de procédure à l'une ou l'autre des parties en application des art. 87 al. 2 LPA et 6 RFPA, les dépens pouvant être compensés.</w:t>
      </w:r>
    </w:p>
    <w:p>
      <w:r>
        <w:t>- 20/21 - A/1824/2020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