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JTAPI/32/2025 vom 25. November 2015</w:t>
      </w:r>
    </w:p>
    <w:p>
      <w:r>
        <w:t>GE Cour de justice, 2015-11-25, FR</w:t>
      </w:r>
    </w:p>
    <w:p>
      <w:r>
        <w:rPr>
          <w:b/>
        </w:rPr>
        <w:t xml:space="preserve">Quelle: </w:t>
      </w:r>
      <w:r>
        <w:t>https://mcp.opencaselaw.ch/entscheid/ge_gerichte_JTAPI_32_2025</w:t>
      </w:r>
    </w:p>
    <w:p>
      <w:r>
        <w:t>FR: GE_GERICHTE JTAPI/32/2025 du 25 novembre 2015</w:t>
      </w:r>
    </w:p>
    <w:p>
      <w:r>
        <w:t>IT: GE_GERICHTE JTAPI/32/2025 del 25 novembre 2015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- 4/7 - A/81/2025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10 janvier 2025 à 14h15.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w:t>
      </w:r>
    </w:p>
    <w:p>
      <w:r>
        <w:rPr>
          <w:b/>
        </w:rPr>
        <w:t>E. 5</w:t>
      </w:r>
    </w:p>
    <w:p>
      <w:r>
        <w:t>La détention administrative peut également être ordonnée si une décision de renvoi ou d’expulsion a été notifiée à l’intéressé et que celui-ci a franchi la frontière malgré une interdiction d'entrer en Suisse et ne peut pas être renvoyé immédiatement (art. 75 al. 1 let. c LEI).</w:t>
      </w:r>
    </w:p>
    <w:p>
      <w:r>
        <w:rPr>
          <w:b/>
        </w:rPr>
        <w:t>E. 6</w:t>
      </w:r>
    </w:p>
    <w:p>
      <w:r>
        <w:t>En l’espèce, M. A______ fait l'objet de deux mesures d'expulsion de Suisse prononcées les 20 juin 2018 et 2 juillet 2020, respectivement pour des durées de trois et vingt ans, mesures qu'il a allégrement violées en revenant en Suisse pendant</w:t>
      </w:r>
    </w:p>
    <w:p>
      <w:r>
        <w:t>- 5/7 - A/81/2025 la période prohibée. Il a par ailleurs été condamné, à plusieurs reprises, pour vol (art. 139 ch. 1 CP), soit une infraction constitutive de crime au sens de l'art. 10 al. 2 CP. Les conditions de la détention administrative de M. A______ sont ainsi réalisées.</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8</w:t>
      </w:r>
    </w:p>
    <w:p>
      <w:r>
        <w:t>En l'espèce, les autorités ont agi avec diligence et célérité puisque M. A______ est d'ores et déjà inscrit sur un vol spécial à destination de la Tunisie.</w:t>
      </w:r>
    </w:p>
    <w:p>
      <w:r>
        <w:rPr>
          <w:b/>
        </w:rPr>
        <w:t>E. 9</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Dans tous les cas, la durée de la détention doit être proportionnée par rapport aux circonstances d'espèce (arrêts du Tribunal fédéral 2C_18/2016 du 2 février 2016 consid. 4.2 ; 2C_218/2013 du 26 mars 2013 consid. 2.3).</w:t>
      </w:r>
    </w:p>
    <w:p>
      <w:r>
        <w:rPr>
          <w:b/>
        </w:rPr>
        <w:t>E. 12</w:t>
      </w:r>
    </w:p>
    <w:p>
      <w:r>
        <w:t>En l'espèce, la durée de détention respecte le cadre légal et n'apparaît pas disproportionnée, étant précisé que, selon les informations des autorités, le vol</w:t>
      </w:r>
    </w:p>
    <w:p>
      <w:r>
        <w:t>- 6/7 - A/81/2025 spécial à destination de la Tunisie devrait avoir lieu dans les deux prochains mois. Par ailleurs, aucune autre mesure que la détention n'est propre à assurer le renvoi de M. A______ vers son pays d'origine. Son engagement à ne pas se soustraire aux autorités n'est pas suffisant, d'autant qu'il a exprimé clairement et à plusieurs reprises, qu'il s'opposait à son renvoi dans son pays d'origine. Par ailleurs et vu le risque de fuite, respectivement de passage dans la clandestinité de l'intéressé, aucune mesure de substitution, telle qu'une assignation à résidence, n'est envisageable.</w:t>
      </w:r>
    </w:p>
    <w:p>
      <w:r>
        <w:rPr>
          <w:b/>
        </w:rPr>
        <w:t>E. 13</w:t>
      </w:r>
    </w:p>
    <w:p>
      <w:r>
        <w:t>Au vu de ce qui précède, il y a lieu de confirmer l'ordre de mise en détention administrative de M. A______ pour une durée de deux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