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JTAPI/326/2024 vom 11. April 2024</w:t>
      </w:r>
    </w:p>
    <w:p>
      <w:r>
        <w:t>GE Cour de justice, 2024-04-11, FR</w:t>
      </w:r>
    </w:p>
    <w:p>
      <w:r>
        <w:rPr>
          <w:b/>
        </w:rPr>
        <w:t xml:space="preserve">Quelle: </w:t>
      </w:r>
      <w:r>
        <w:t>https://mcp.opencaselaw.ch/entscheid/ge_gerichte_JTAPI_326_2024</w:t>
      </w:r>
    </w:p>
    <w:p>
      <w:r>
        <w:t>FR: GE_GERICHTE JTAPI/326/2024 du 11 avril 2024</w:t>
      </w:r>
    </w:p>
    <w:p>
      <w:r>
        <w:t>IT: GE_GERICHTE JTAPI/326/2024 del 11 aprile 2024</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Préalablement, la recourante demande l’audition de M. C______, son administrateur, lequel pourrait renseigner le tribunal sur les recherches entreprises, à grande échelle, afin de trouver un candidat pour le poste d'analyste financier.</w:t>
      </w:r>
    </w:p>
    <w:p>
      <w:r>
        <w:rPr>
          <w:b/>
        </w:rPr>
        <w:t>E. 4</w:t>
      </w:r>
    </w:p>
    <w:p>
      <w:r>
        <w:t>Garanti par l'art. 29 al. 2 de la Constitution fédérale de la Confédération suisse du 18 avril 1999 (Cst. - RS 101), le droit d'être entendu est une garantie constitutionnelle de caractère formel,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w:t>
      </w:r>
    </w:p>
    <w:p>
      <w:r>
        <w:t>- 7/15 - A/3070/2023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5</w:t>
      </w:r>
    </w:p>
    <w:p>
      <w:r>
        <w:t>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w:t>
      </w:r>
    </w:p>
    <w:p>
      <w:r>
        <w:rPr>
          <w:b/>
        </w:rPr>
        <w:t>E. 6</w:t>
      </w:r>
    </w:p>
    <w:p>
      <w:r>
        <w:t>En l'espèce, le tribunal estime que le dossier contient les éléments suffisants et nécessaires à l'établissement des faits pertinents pour traiter les griefs soulevés par la recourante et statuer sur le litige. La recourante n'indique pour le surplus pas en quoi la procédure écrite l'aurait empêché, dans le cadre de son recours, d'exprimer de manière complète et précise l'ensemble des faits pertinents. De la même manière, elle n'explique pas en quoi l’audition de M. C______ serait pertinente, étant rappelé que la simple affirmation d’avoir entrepris des recherches à grande échelle ne saurait en tout état être considérée comme suffisante au regard de l’art. 21 LEI, point qui sera examiné ci-après. Par conséquent, il ne se justifie pas de procéder à l’audition du précité.</w:t>
      </w:r>
    </w:p>
    <w:p>
      <w:r>
        <w:rPr>
          <w:b/>
        </w:rPr>
        <w:t>E. 7</w:t>
      </w:r>
    </w:p>
    <w:p>
      <w:r>
        <w:t>La recourante reproche à l’OCIRT d’avoir violé son droit d’être entendu sous deux aspects. Elle n’aurait pas disposé de suffisamment de temps pour se déterminer avant le prononcé de la décision querellée et cette dernière ne serait pas suffisamment motivée.</w:t>
      </w:r>
    </w:p>
    <w:p>
      <w:r>
        <w:rPr>
          <w:b/>
        </w:rPr>
        <w:t>E. 8</w:t>
      </w:r>
    </w:p>
    <w:p>
      <w:r>
        <w:t>La base constitutionnelle et le contenu essentiel du droit d’être entendu ont déjà été mentionnés plus haut. Les modalités de sa mise en œuvre sont déterminés en premier lieu par les dispositions de droit cantonal de procédure (arrêt du Tribunal fédéral 8C_615/2016 du 15 juillet 2017 consid. 3.2.1 et les références citées ; ATA/289/ 2018 du 27 mars 2018 consid. 2b). Il est concrétisé à l’art. 41 LPA, selon lequel les parties ont le droit d’être entendues par l’autorité compétente avant que ne soit prise une décision.</w:t>
      </w:r>
    </w:p>
    <w:p>
      <w:r>
        <w:rPr>
          <w:b/>
        </w:rPr>
        <w:t>E. 9</w:t>
      </w:r>
    </w:p>
    <w:p>
      <w:r>
        <w:t>Le droit d’être entendu sert non seulement à établir correctement les faits, mais constitue également un droit indissociable de la personnalité garantissant à</w:t>
      </w:r>
    </w:p>
    <w:p>
      <w:r>
        <w:t>- 8/15 - A/3070/2023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(ATA/778/2018 du 24 juillet 2018 consid. 3a et les références citées).</w:t>
      </w:r>
    </w:p>
    <w:p>
      <w:r>
        <w:rPr>
          <w:b/>
        </w:rPr>
        <w:t>E. 10</w:t>
      </w:r>
    </w:p>
    <w:p>
      <w:r>
        <w:t>Dans une procédure initiée sur requête d'un administré, celui-ci est censé motiver sa requête en apportant tous les éléments pertinents ; il n'a donc pas un droit à être encore entendu avant que l'autorité ne prenne sa décision afin de pouvoir présenter des observations complémentaires (Thierry TANQUEREL, Manuel de droit administratif, n° 1528 ss, p. 509 s ; ATA/523/2016 du 21 juin 2016 consid. 2b).</w:t>
      </w:r>
    </w:p>
    <w:p>
      <w:r>
        <w:rPr>
          <w:b/>
        </w:rPr>
        <w:t>E. 11</w:t>
      </w:r>
    </w:p>
    <w:p>
      <w:r>
        <w:t>Le droit d'être entendu garanti par l'art. 29 al. 2 Cst. implique aussi pour l'autorité l'obligation de motiver sa décision. Selon la jurisprudence, il suffit que l'autorité ou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ATF 137 II 266 consid. 3.2 ; ATF 136 I 229 consid. 5.2 ; ATF 134 I 83 consid. 4.1 ; ATA/967/2016 du</w:t>
      </w:r>
    </w:p>
    <w:p>
      <w:r>
        <w:rPr>
          <w:b/>
        </w:rPr>
        <w:t>E. 15</w:t>
      </w:r>
    </w:p>
    <w:p>
      <w:r>
        <w:t>La recourante conteste le refus de l'OCIRT de délivrer une autorisation de séjour avec activité lucrative (permis B) à Mme D______, qu’elle souhaite engager comme « Risk Finance Manager ».</w:t>
      </w:r>
    </w:p>
    <w:p>
      <w:r>
        <w:rPr>
          <w:b/>
        </w:rPr>
        <w:t>E. 16</w:t>
      </w:r>
    </w:p>
    <w:p>
      <w:r>
        <w:t>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notamment par l’Accord du 21 juin 1999 entre, d’une part, la Confédération suisse, et, d’autre part, la Communauté européenne et ses États membres sur la libre circulation des personnes (ALCP - RS 0.142.112.681).</w:t>
      </w:r>
    </w:p>
    <w:p>
      <w:r>
        <w:t>- 10/15 - A/3070/2023</w:t>
      </w:r>
    </w:p>
    <w:p>
      <w:r>
        <w:rPr>
          <w:b/>
        </w:rPr>
        <w:t>E. 17</w:t>
      </w:r>
    </w:p>
    <w:p>
      <w:r>
        <w:t>En l'occurrence, Mme D______ étant ressortissante ukrainienne et non d'un pays membre de la Communauté européenne, la demande de permis déposée en sa faveur ne peut être examinée que sous l'angle de la LEI.</w:t>
      </w:r>
    </w:p>
    <w:p>
      <w:r>
        <w:rPr>
          <w:b/>
        </w:rPr>
        <w:t>E. 18</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rPr>
          <w:b/>
        </w:rPr>
        <w:t>E. 19</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w:t>
      </w:r>
    </w:p>
    <w:p>
      <w:r>
        <w:rPr>
          <w:b/>
        </w:rPr>
        <w:t>E. 20</w:t>
      </w:r>
    </w:p>
    <w:p>
      <w:r>
        <w:t>En raison de sa formulation potestative, l'art. 18 LEI ne confère aucun droit à la délivrance d’une autorisation de séjour pour activité lucrative (arrêts du Tribunal fédéral 2C_798/2018 du 17 septembre 2018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w:t>
      </w:r>
    </w:p>
    <w:p>
      <w:r>
        <w:rPr>
          <w:b/>
        </w:rPr>
        <w:t>E. 25</w:t>
      </w:r>
    </w:p>
    <w:p>
      <w:r>
        <w:t>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(ATAF 2011/1 consid. 6.1 ; arrêts du Tribunal</w:t>
      </w:r>
    </w:p>
    <w:p>
      <w:r>
        <w:t>- 12/15 - A/3070/2023 administratif fédéral C-5184/2014 du 31 mars 2016 consid. 5.3.1 ; C-6198/2014 du 18 mai 2015 consid. 6.1 ; C-857/2013 consid. 5).</w:t>
      </w:r>
    </w:p>
    <w:p>
      <w:r>
        <w:rPr>
          <w:b/>
        </w:rPr>
        <w:t>E. 26</w:t>
      </w:r>
    </w:p>
    <w:p>
      <w:r>
        <w:t>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(ATA/1094/2019 du 25 juin 2019 consid. 5c et les arrêts cités ; directives LEI, ch. 4.3.2.1).</w:t>
      </w:r>
    </w:p>
    <w:p>
      <w:r>
        <w:rPr>
          <w:b/>
        </w:rPr>
        <w:t>E. 27</w:t>
      </w:r>
    </w:p>
    <w:p>
      <w:r>
        <w:t>Il revient à l'employeur de démontrer avoir entrepris des recherches à une grande échelle afin de repourvoir le poste en question par un travailleur indigène ou ressortissant d'un État membre de l'UE/AELE et qu'il s'est trouvé dans une impossibilité absolue de trouver une personne capable d'exercer cette activité (ATA/1094/2019 du 25 juin 2019 consid. 5c ; ATA/1368/2018 du 18 décembre 2018 consid. 3c ; arrêt du Tribunal administratif fédéral C-6074/2010 du 19 avril 2011 consid. 5.3).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(arrêts du Tribunal administratif fédéral F-3286/2017 du 18 décembre 2017 consid. 6.2 ; F-1992/2015 du 10 mars 2017 consid. 5.5 ; ATA/1094/2019 du 25 juin 2019 consid. 5c).</w:t>
      </w:r>
    </w:p>
    <w:p>
      <w:r>
        <w:rPr>
          <w:b/>
        </w:rPr>
        <w:t>E. 28</w:t>
      </w:r>
    </w:p>
    <w:p>
      <w:r>
        <w:t>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C_8717/2010 du 8 juillet 2011</w:t>
      </w:r>
    </w:p>
    <w:p>
      <w:r>
        <w:t>- 13/15 - A/3070/2023 consid. 8.1 ; ATA/1094/2019 du 25 juin 2019 consid. 5c ; ATA/1368/2018 du 18 décembre 2018 consid. 3c).</w:t>
      </w:r>
    </w:p>
    <w:p>
      <w:r>
        <w:rPr>
          <w:b/>
        </w:rPr>
        <w:t>E. 29</w:t>
      </w:r>
    </w:p>
    <w:p>
      <w:r>
        <w:t>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w:t>
      </w:r>
    </w:p>
    <w:p>
      <w:r>
        <w:rPr>
          <w:b/>
        </w:rPr>
        <w:t>E. 30</w:t>
      </w:r>
    </w:p>
    <w:p>
      <w:r>
        <w:t>En l’espèce, au vu des écritures des parties et des pièces versées à la procédure, le tribunal parvient à la conclusion que l’OCIRT n’a pas violé les dispositions légales énoncées plus haut ou mésusé de son pouvoir d’appréciation en refusant l'octroi de l’autorisation de travail sollicitée en faveur de la recourante. Sous l’angle de l’art. 21 al. 1 LEI, force est d’admettre que la démarche initiée par la recourante en avril 2023 en vue de trouver un analyste financier, n’a effectivement de loin pas atteint le niveau de recherches requis par la loi et la jurisprudence. Elle s’est en effet contentée d’annoncer la vacance du poste à l’OCE le 20 avril 2023. Or, une telle démarche ne suffit pas, en l’état des règles en vigueur, pour considérer qu’elle se serait acquittée de ses obligations légales en matière de priorité du marché suisse ou européen. On observera par ailleurs que Mme D______ a signé son contrat de travail le 9 janvier 2023, soit plus de trois mois avant l'annonce du poste à l'OCE, ce qui tend à démontrer que l'employeur n'avait en réalité nullement l'intention de prendre en considération les éventuelles candidatures du service de placement et que la demande déposée en sa faveur relève principalement de la convenance personnelle. Compte tenu des difficultés rencontrées pour trouver un/e candidat/e remplissant les conditions requises par le poste, il aurait appartenu à la recourante d’entreprendre des recherches bien plus poussées et de plus grande envergure sur les marchés du travail tant suisse que de l’UE/AELE, par exemple en faisant appel à des agences de recrutement et en publiant des annonces sur des sites internet spécialisés, en Suisse et en Europe, et dans la presse spécialisée. De telles démarches sont certes coûteuses, mais elles incombent à l'employeur, d'autant plus lorsqu'il cherche à pourvoir un poste extrêmement spécifique qui apportera une importante plus-value à son entreprise et la marche de ses affaires. Quant aux explications données par la société, à savoir que M. C______ aurait entrepris des recherches à large échelle, notamment lors des différentes conférences auxquelles il avait pris part, elles ne convainquent pas. Ses démarches ne sont au demeurant attestées par aucune pièce et ne correspondent en tout état pas à ce qui est attendu d’un employeur sous l’angle du respect du principe de priorité.</w:t>
      </w:r>
    </w:p>
    <w:p>
      <w:r>
        <w:t>Dans ces conditions, force est de retenir, avec l’autorité intimée, que la société recourante n’est pas parvenue à démontrer avoir été réellement et concrètement dans l’impossibilité de trouver un travailleur correspondant aux exigences du</w:t>
      </w:r>
    </w:p>
    <w:p>
      <w:r>
        <w:t>- 14/15 - A/3070/2023 poste sur le marché local ou européen, en particulier parce qu’elle aurait, en vain, entrepris toutes les recherches utiles et nécessaires susceptibles d’être attendues d’elle, qui permettraient de retenir que la condition de l’ordre de priorité de l’art. 21 al. 1 LEI serait remplie.</w:t>
      </w:r>
    </w:p>
    <w:p>
      <w:r>
        <w:t>L’une des conditions légales cumulatives applicables (art. 18 let. c cum 21 al. 1 LEI) n’ayant pas été respectée, il n’est pas nécessaire d’examiner si les autres conditions sont réalisées. Le tribunal relèvera néanmoins encore qu’aucun élément du dossier ne permet de considérer que l’activité que Mme D______, aussi compétente soit-elle, serait amenée à déployer au sein de la société pourrait réellement avoir des retombées économiques positives pour l’économie suisse et, ainsi, représenter un intérêt pour ce pays au sens de l’art. 18 let. a LEI, tel que défini plus haut, que ce soit en termes d’investissements ou de diversification de l’économie régionale, étant rappelé qu’il convient de ne pas confondre l’intérêt économique de la Suisse avec celui de la société recourante à engager une personne particulière.</w:t>
      </w:r>
    </w:p>
    <w:p>
      <w:r>
        <w:rPr>
          <w:b/>
        </w:rPr>
        <w:t>E. 31</w:t>
      </w:r>
    </w:p>
    <w:p>
      <w:r>
        <w:t>Au vu de ce qui précède, il faut constater que le refus de l'OCIRT n'apparaît pas critiquable et que la décision querellée ne viole pas le droit fédéral. Celui-ci ne s'est pas fondé sur des considérations dénuées de pertinence et étrangères au but visé par la loi pour forger sa décision. La recourante ne démontre d'ailleurs pas en quoi cette dernière serait constitutive d'un excès ou d'un abus du pouvoir d'appréciation. On doit ainsi parvenir à la conclusion que l'appréciation que l'OCIRT a fait de la situation de la recourante demeure parfaitement défendable et, partant, admissible, étant souligné que lorsque le législateur a voulu conférer à l'autorité de décision un pouvoir d'appréciation dans l'application d'une norme, le juge qui, outrepassant son pouvoir d'examen, corrige l'application pourtant défendable de celle-ci à laquelle ladite autorité a procédé viole le principe de l'interdiction de l'arbitraire (cf. ATF 140 I 201 consid. 6.1 et les références citées). Le recours, mal fondé, doit donc être rejeté.</w:t>
      </w:r>
    </w:p>
    <w:p>
      <w:r>
        <w:rPr>
          <w:b/>
        </w:rPr>
        <w:t>E. 32</w:t>
      </w:r>
    </w:p>
    <w:p>
      <w:r>
        <w:t>En application des art. 87 al. 1 LPA et 1 et 2 du règlement sur les frais, émoluments et indemnités en procédure administrative du 30 juillet 1986 (RFPA - E 5 10.03), la recourante, qui succombe, est condamnée au paiement d’un émolument s'élevant à CHF 500.-. Il est couvert par l’avance de frais versée à la suite du dépôt du recours.</w:t>
      </w:r>
    </w:p>
    <w:p>
      <w:r>
        <w:rPr>
          <w:b/>
        </w:rPr>
        <w:t>E. 33</w:t>
      </w:r>
    </w:p>
    <w:p>
      <w:r>
        <w:t>Vu l’issue du litige, aucune indemnité de procédure ne sera allouée (art. 87 al. 2 LPA).</w:t>
      </w:r>
    </w:p>
    <w:p>
      <w:r>
        <w:rPr>
          <w:b/>
        </w:rPr>
        <w:t>E. 34</w:t>
      </w:r>
    </w:p>
    <w:p>
      <w:r>
        <w:t>En vertu des art. 89 al. 2 et 111 al. 2 de la loi sur le Tribunal fédéral du 17 juin 2005 (LTF - RS 173.110), le présent jugement sera communiqué au SEM.</w:t>
      </w:r>
    </w:p>
    <w:p>
      <w:r>
        <w:t>- 15/15 - A/3070/2023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