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JTAPI/324/2024 vom 11. April 2024</w:t>
      </w:r>
    </w:p>
    <w:p>
      <w:r>
        <w:t>GE Cour de justice, 2024-04-11, FR</w:t>
      </w:r>
    </w:p>
    <w:p>
      <w:r>
        <w:rPr>
          <w:b/>
        </w:rPr>
        <w:t xml:space="preserve">Quelle: </w:t>
      </w:r>
      <w:r>
        <w:t>https://mcp.opencaselaw.ch/entscheid/ge_gerichte_JTAPI_324_2024</w:t>
      </w:r>
    </w:p>
    <w:p>
      <w:r>
        <w:t>FR: GE_GERICHTE JTAPI/324/2024 du 11 avril 2024</w:t>
      </w:r>
    </w:p>
    <w:p>
      <w:r>
        <w:t>IT: GE_GERICHTE JTAPI/324/2024 del 11 aprile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la loi d'application de la loi fédérale sur les étrangers du 16 juin 1988 - LaLEtr - F 2 10).</w:t>
      </w:r>
    </w:p>
    <w:p>
      <w:r>
        <w:rPr>
          <w:b/>
        </w:rPr>
        <w:t>E. 2</w:t>
      </w:r>
    </w:p>
    <w:p>
      <w:r>
        <w:t>En l'espèce, le tribunal a été valablement saisi dans le délai de nonante-six heures prévu par l'art. 80 al. 2 LEI, l’ordre de mise en détention ayant été émis le 9 avril 2024.</w:t>
      </w:r>
    </w:p>
    <w:p>
      <w:r>
        <w:rPr>
          <w:b/>
        </w:rPr>
        <w:t>E. 3</w:t>
      </w:r>
    </w:p>
    <w:p>
      <w:r>
        <w:t>Statuant ce jour, le tribunal respecte le délai fixé par l'art. 78 al. 4 LEI et l’art. 9 al.</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w:t>
      </w:r>
    </w:p>
    <w:p>
      <w:r>
        <w:rPr>
          <w:b/>
        </w:rPr>
        <w:t>E. 5</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rPr>
          <w:b/>
        </w:rPr>
        <w:t>E. 6</w:t>
      </w:r>
    </w:p>
    <w:p>
      <w:r>
        <w:t>Elle doit être levée notamment lorsqu’un départ de Suisse, volontaire et dans le délai prescrit, n’est pas possible malgré la collaboration de l’intéressé (art. 78 al. 6 let. a LEI ; ATA/812/2023 du 4 août 2023).</w:t>
      </w:r>
    </w:p>
    <w:p>
      <w:r>
        <w:rPr>
          <w:b/>
        </w:rPr>
        <w:t>E. 7</w:t>
      </w:r>
    </w:p>
    <w:p>
      <w:r>
        <w:t>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w:t>
      </w:r>
    </w:p>
    <w:p>
      <w:r>
        <w:rPr>
          <w:b/>
        </w:rPr>
        <w:t>E. 8</w:t>
      </w:r>
    </w:p>
    <w:p>
      <w:r>
        <w:t>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2C_639/2011 du 16 septembre 2011 consid. 3.1;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 105 et la jurisprudence citée ; ATA/1053/2016 du 14 décembre 2016) et n'entraîne pas en soi une libération de la détention (ATF 134 I 92 consid. 2.3.2 p. 97).</w:t>
      </w:r>
    </w:p>
    <w:p>
      <w:r>
        <w:rPr>
          <w:b/>
        </w:rPr>
        <w:t>E. 9</w:t>
      </w:r>
    </w:p>
    <w:p>
      <w:r>
        <w:t>La détention peut être ordonnée pour une période d’un mois et, moyennant le consentement de l’autorité judiciaire cantonale et dans la mesure où l’étranger n’est pas disposé à modifier son comportement et à quitter le pays, elle peut être prolongée de deux mois en deux mois (art. 78 al. 2 LEI). Elle doit être levée</w:t>
      </w:r>
    </w:p>
    <w:p>
      <w:r>
        <w:t>- 6/8 - A/1169/2024 notamment lorsqu’un départ de Suisse, volontaire et dans le délai prescrit, n’est pas possible malgré la collaboration de l’intéressé (art. 78 al. 6 let. a LEI ; ATA/1053/2016 précité).</w:t>
      </w:r>
    </w:p>
    <w:p>
      <w:r>
        <w:rPr>
          <w:b/>
        </w:rPr>
        <w:t>E. 10</w:t>
      </w:r>
    </w:p>
    <w:p>
      <w:r>
        <w:t>La durée de la détention pour insoumission ne doit pas excéder, avec la détention en vue du renvoi et la détention en phase préparatoire, dix-huit mois (art. 78 al. 2 LEI et 79 al. 1 et 2 LEI ; ATF 140 II 409 consid. 2.1 ; arrêt du Tribunal fédéral 2C_188/2020 du 15 avril 2020 consid. 7.3).</w:t>
      </w:r>
    </w:p>
    <w:p>
      <w:r>
        <w:rPr>
          <w:b/>
        </w:rPr>
        <w:t>E. 11</w:t>
      </w:r>
    </w:p>
    <w:p>
      <w:r>
        <w:t>En l’espèce, la légalité de la détention de l’intéressé pour insoumission (art. 78 LEI) a déjà été confirmée par le tribunal dans son jugement du 7 mars 2024 (JTAPI/197/2024), de sorte qu’en l’absence de changement des éléments qui ont conduit à cette conclusion, et qu'aucune des conditions de l'art. 78 al. 6 LEI n'est réalisée, la détention reste fondée dans son principe, ce qui n’est pas contesté.</w:t>
      </w:r>
    </w:p>
    <w:p>
      <w:r>
        <w:rPr>
          <w:b/>
        </w:rPr>
        <w:t>E. 12</w:t>
      </w:r>
    </w:p>
    <w:p>
      <w:r>
        <w:t>S’agissant de la proportionnalité de sa détention, l’intéressé n'a aucune source de revenu licite, ni aucune attache à Genève et persiste à refuser de quitter la Suisse, pays qu’il n’a pas quitté malgré trois expulsions judiciaires prononcées à son encontre.</w:t>
      </w:r>
    </w:p>
    <w:p>
      <w:r>
        <w:rPr>
          <w:b/>
        </w:rPr>
        <w:t>E. 13</w:t>
      </w:r>
    </w:p>
    <w:p>
      <w:r>
        <w:t>Au vu de ces éléments, on peut admettre l'existence d'un risque réel et concret que, s'il était libéré, il n'obtempérerait pas aux instructions de l'autorité lorsque celle-ci lui ordonnera de monter à bord de l'avion devant le reconduire dans son pays et qu'il pourra être amené à disparaître dans la clandestinité. Ses promesses de quitter la Suisse pour la France une fois libéré ne suffisent pas à pallier le risque de fuite avéré en l’espèce. A ce sujet, on entend mal pour quelles raisons, M. A______ respecterait sa promesse alors qu’il s’est soustrait à toutes les décisions administratives et judiciaires prises à son encontre jusqu’alors. Aussi, l'intérêt public au départ de l’intéressé n'a pas disparu et aucune mesure moins incisive que la détention administrative d'une durée d’un mois, n'est susceptible d'assurer son expulsion dans son pays d'origine au vu de sa situation et de son comportement.</w:t>
      </w:r>
    </w:p>
    <w:p>
      <w:r>
        <w:rPr>
          <w:b/>
        </w:rPr>
        <w:t>E. 14</w:t>
      </w:r>
    </w:p>
    <w:p>
      <w:r>
        <w:t>La mesure litigieuse est également conforme au principe de célérité, dès lors que l’autorité a réservé des billets d’avion dès l’annonce de la libération de l’intéressé qui a refusé, à deux reprises de prendre le vol qui lui avait été réservé. Ainsi, le prolongement de la procédure de refoulement est imputable à M. A______ qui pourrait décider de lui-même qu'il soit mis un terme à sa détention en acceptant de retourner dans son pays.</w:t>
      </w:r>
    </w:p>
    <w:p>
      <w:r>
        <w:rPr>
          <w:b/>
        </w:rPr>
        <w:t>E. 15</w:t>
      </w:r>
    </w:p>
    <w:p>
      <w:r>
        <w:t>Ces circonstances constituent typiquement celles qui autorisent la mise en détention pour insoumission au sens de l’art. 78 LEI et aucune des situations visées par l'art. 78 al. 6 LEI n'est réalisée.</w:t>
      </w:r>
    </w:p>
    <w:p>
      <w:r>
        <w:rPr>
          <w:b/>
        </w:rPr>
        <w:t>E. 16</w:t>
      </w:r>
    </w:p>
    <w:p>
      <w:r>
        <w:t>Enfin, la durée de sa détention demeure pour l'heure conforme au principe de la proportionnalité.</w:t>
      </w:r>
    </w:p>
    <w:p>
      <w:r>
        <w:rPr>
          <w:b/>
        </w:rPr>
        <w:t>E. 17</w:t>
      </w:r>
    </w:p>
    <w:p>
      <w:r>
        <w:t>Au vu de ce qui précède, il y a lieu de confirmer l'ordre de mise en détention administrative pour insoumission de M. A______, pour une durée d’un mois.</w:t>
      </w:r>
    </w:p>
    <w:p>
      <w:r>
        <w:t>- 7/8 - A/1169/2024</w:t>
      </w:r>
    </w:p>
    <w:p>
      <w:r>
        <w:rPr>
          <w:b/>
        </w:rPr>
        <w:t>E. 18</w:t>
      </w:r>
    </w:p>
    <w:p>
      <w:r>
        <w:t>Conformément à l'art. 9 al. 6 LaLEtr, le présent jugement sera communiqué à M. A______, à son avocate et au commissaire de police. En vertu des art. 89 al. 2 et 111 al. 2 de la loi sur le Tribunal fédéral du 17 juin 2005 (LTF - RS 173.110), il sera en outre communiqué au SEM.</w:t>
      </w:r>
    </w:p>
    <w:p>
      <w:r>
        <w:t>- 8/8 - A/1169/2024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