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JTAPI/324/2022 vom 1. April 2022</w:t>
      </w:r>
    </w:p>
    <w:p>
      <w:r>
        <w:t>GE Cour de justice, 2022-04-01, FR</w:t>
      </w:r>
    </w:p>
    <w:p>
      <w:r>
        <w:rPr>
          <w:b/>
        </w:rPr>
        <w:t xml:space="preserve">Quelle: </w:t>
      </w:r>
      <w:r>
        <w:t>https://mcp.opencaselaw.ch/entscheid/ge_gerichte_JTAPI_324_2022</w:t>
      </w:r>
    </w:p>
    <w:p>
      <w:r>
        <w:t>FR: GE_GERICHTE JTAPI/324/2022 du 1 avril 2022</w:t>
      </w:r>
    </w:p>
    <w:p>
      <w:r>
        <w:t>IT: GE_GERICHTE JTAPI/324/2022 del 1 aprile 2022</w:t>
      </w:r>
    </w:p>
    <w:p>
      <w:pPr>
        <w:pStyle w:val="Heading2"/>
      </w:pPr>
      <w:r>
        <w:t>Erwägungen</w:t>
      </w:r>
    </w:p>
    <w:p>
      <w:r>
        <w:rPr>
          <w:b/>
        </w:rPr>
        <w:t>E. 1</w:t>
      </w:r>
    </w:p>
    <w:p>
      <w:r>
        <w:t>et 116 al. 1 de la loi sur l’organisation judiciaire du 26 septembre 2010 - LOJ - E 2 05 ; art. 7 al. 4 let. g de la loi d'application de la loi fédérale sur les étrangers du 16 juin 1988 - LaLEtr - F 2 10).</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peut être demandé à tout moment.</w:t>
      </w:r>
    </w:p>
    <w:p>
      <w:r>
        <w:rPr>
          <w:b/>
        </w:rPr>
        <w:t>E. 3</w:t>
      </w:r>
    </w:p>
    <w:p>
      <w:r>
        <w:t>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JTAPI/803/2019 du 6 septembre 2019 ; JTAPI/720/2018 du 27 août 2018 ; JTAPI/13172018 du 13 février 2018 ; cf. aussi ATA/557/2017 du 16 mai 2017).</w:t>
      </w:r>
    </w:p>
    <w:p>
      <w:r>
        <w:rPr>
          <w:b/>
        </w:rPr>
        <w:t>E. 3.1</w:t>
      </w:r>
    </w:p>
    <w:p>
      <w:r>
        <w:t>et les nombreuses références citées). Un tel pronostic peut s'imposer</w:t>
      </w:r>
    </w:p>
    <w:p>
      <w:r>
        <w:t>- 8/11 - A/1020/2022 notamment lorsqu'une procédure pénale a démontré que l'étranger s'est livré à un trafic de drogues dures ne portant que sur de faibles quantités ; dans un tel cas de figure, il faut se demander s'il s'agit seulement d'un comportement coupable isolé ou s'il existe un risque que l'intéressé poursuive son trafic. En effet, la détention administrative n'est pas d'emblée exclue en présence de petits trafiquants, s'ils présentent un risque de récidive (cf.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(cf. arrêts du Tribunal fédéral 2C_293/2012 du 18 avril 2012 consid. 4.3 ; 2A.480/2003 du 26 août 2004 consid. 3.1 in fine ; 2A.35/2000 du 10 février 2000 consid. 2b/bb ; 2A.450/1995 du 3 novembre 1995 consid. 3b).</w:t>
      </w:r>
    </w:p>
    <w:p>
      <w:r>
        <w:rPr>
          <w:b/>
        </w:rPr>
        <w:t>E. 4</w:t>
      </w:r>
    </w:p>
    <w:p>
      <w:r>
        <w:t>En l'espèce, M. A______ a dûment requis du tribunal qu'il contrôle la légalité et l'adéquation de sa détention.</w:t>
      </w:r>
    </w:p>
    <w:p>
      <w:r>
        <w:rPr>
          <w:b/>
        </w:rPr>
        <w:t>E. 5</w:t>
      </w:r>
    </w:p>
    <w:p>
      <w:r>
        <w:t>Le tribunal peut confirmer, réformer ou annuler la décision du commissaire de police ; le cas échéant, il ordonne la mise en liberté de l'étranger (cf. art. 9 al. 3 LaLEtr).</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7</w:t>
      </w:r>
    </w:p>
    <w:p>
      <w:r>
        <w:t>Selon l'art. 28 par. 2 du règlement,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w:t>
      </w:r>
    </w:p>
    <w:p>
      <w:r>
        <w:t>- 6/11 - A/1020/2022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8</w:t>
      </w:r>
    </w:p>
    <w:p>
      <w:r>
        <w:t>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[UE] n° 604/2013).</w:t>
      </w:r>
    </w:p>
    <w:p>
      <w:r>
        <w:rPr>
          <w:b/>
        </w:rPr>
        <w:t>E. 9</w:t>
      </w:r>
    </w:p>
    <w:p>
      <w:r>
        <w:t>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rPr>
          <w:b/>
        </w:rPr>
        <w:t>E. 10</w:t>
      </w:r>
    </w:p>
    <w:p>
      <w:r>
        <w:t>Un comportement en Suisse ou à l'étranger adopté par l'intéressé permettant « de conclure qu'il refuse d'obtempérer aux instructions des autorités » constitue un élément concret faisant craindre qu'il entende se soustraire à l'exécution du renvoi (art. 76a al. 2 let. b LEI). Selon l'art. 76a al. 2 let. g LEI, le fait que l'étranger menace sérieusement d’autres personnes ou met gravement en danger leur vie ou leur intégrité corporelle et fait l’objet d’une poursuite pénale ou a été condamné pour ce motif fait aussi craindre qu'il entende se soustraire à l'exécution du renvoi.</w:t>
      </w:r>
    </w:p>
    <w:p>
      <w:r>
        <w:rPr>
          <w:b/>
        </w:rPr>
        <w:t>E. 11</w:t>
      </w:r>
    </w:p>
    <w:p>
      <w:r>
        <w:t>Il ressort du Message relatif à l'approbation et à la mise en œuvre des échanges de notes entre la Suisse et l'Union européenne concernant la reprise des règlements (UE) nos 603/2013 et 604/2013 (développements de l'acquis de Dublin/Eurodac) du 7 mars 2014 (FF 2014 2587, 2614) que l'art. 76a al. 2 LEI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 Ces critères s'apparentent aux motifs déjà existants de détention en phase préparatoire ou de détention en vue du renvoi définis aux art. 75 et 76 LEI (cf. Gregor CHATTON/Laurent MERZ, op. cit., n. 17 ad art. 76a p. 808).</w:t>
      </w:r>
    </w:p>
    <w:p>
      <w:r>
        <w:t>- 7/11 - A/1020/2022</w:t>
      </w:r>
    </w:p>
    <w:p>
      <w:r>
        <w:rPr>
          <w:b/>
        </w:rPr>
        <w:t>E. 12</w:t>
      </w:r>
    </w:p>
    <w:p>
      <w:r>
        <w:t>Sous l'angle de l'art. 76a al. 2 let. g LEI, un étranger menace sérieusement d'autres personnes ou met gravement en danger leur vie ou leur intégrité corporelle s'il commet des infractions pénales à l'encontre de la vie et de l'intégrité corporelle (art. 111 ss CP), contre la liberté (art. 180 ss CP) ou contre l'intégrité sexuelle, dès qu'il y a contrainte (cf. art. 189 et 190 CP) (cf. arrêt du Tribunal fédéral 2C_293/2012 du 18 avril 2012 consid. 4.3 et les références citées). Sont aussi visées les infractions à la LStup (cf. arrêts du Tribunal fédéral 2C_293/2012 du 18 avril 2012 consid. 4.3 ; 2A.35/2000 du 10 février 2000 consid. 2b/aa ; 2A.450/1995 du 3 novembre 1995 consid. 5a), en particulier le trafic de drogues dures (cf. ATF 125 II 369 consid. 3b/bb ; arrêt du Tribunal fédéral 2C_293/2012 du 18 avril 2012 consid. 4.3 ; Nicolas WISARD, Les renvois et leur exécution en droit des étrangers et en droit d'asile, 1997, p. 268). Il a en revanche déjà été jugé (cf. ATA/641/1996 du 31 octobre 1996 consid. 9, rendu sous l'empire de l’art. 13a let. e de l'ancienne loi fédérale sur le séjour et l'établissement des étrangers du 26 mars 1931 - aLSEE - RS 142.20, dont la teneur est similaire à l'art. 75 al. 1 let. g LEI [cf. arrêt du Tribunal fédéral 2C_293/2012 du 18 avril 2012 consid. 4.2] ; JTAPI/1360/2017 du 19 décembre 2017 ; JTAPI/1159/2016 du 10 novembre 2016 ; JTAPI/892/2015 du 24 juillet 2015) que le fait qu'une personne se soit livrée à un trafic de haschisch ne permet pas à lui seul sa mise en détention administrative sur la base des dispositions légales précitées, puisque, selon la jurisprudence du Tribunal fédéral rendue en matière de stupéfiants, à l'instar de l'ecstasy (cf. ATF 125 IV 90 consid. 3), le cannabis et ses dérivés n’ont pas le caractère d’un produit mettant gravement en danger la vie ou l’intégrité corporelle de tiers (cf. not. ATF 145 IV 312 consid. 2.1.1 ; 120 IV 256 consid. 2b ; 117 IV 314 consid. 2 ; 6B_873/2015 du 20 avril 2016 consid. 2.3.2 ; 6B_478/2011 du 21 novembre 2011 consid. 2 ; on observera, cela étant, que le Tribunal fédéral a récemment retenu [ATF 146 IV 326 consid. 3.2] que, sans être létal, le cannabis reste une substance nocive pour la santé des consommateurs, notamment des jeunes et jeunes adultes en pleine phase de développement physique et psychique, sa consommation régulière et/ou à haute dose pouvant entraîner une addiction, voire des troubles physiques et psychiques, de sorte qu'un trafic de cannabis de grande envergure, portant, comme en l'occurrence, sur plus de 300 kg et réalisant le cas grave de l'art. 19 al. 2 let. c LStup menaçait de manière sérieuse, au sens de l'art. 221 al. 1 let. c du Code de procédure pénale suisse du 5 octobre 2007 [CPP - RS 312.0], la santé et la sécurité des jeunes et des jeunes adultes, représentant une part importante des consommateurs et une frange de la population particulièrement vulnérable).</w:t>
      </w:r>
    </w:p>
    <w:p>
      <w:r>
        <w:rPr>
          <w:b/>
        </w:rPr>
        <w:t>E. 13</w:t>
      </w:r>
    </w:p>
    <w:p>
      <w:r>
        <w:t>Comme la disposition est tournée vers le futur et tend à empêcher que l'étranger continue son comportement dangereux, il faut établir un pronostic pour déterminer si, sur la base des circonstances connues, il existe un risque sérieux que d'autres mises en danger graves se reproduisent (cf. arrêts du Tribunal fédéral 2C_293/2012 du 18 avril 2012 consid. 4.3 ; 2A.480/2003 du 26 août 2004 consid.</w:t>
      </w:r>
    </w:p>
    <w:p>
      <w:r>
        <w:rPr>
          <w:b/>
        </w:rPr>
        <w:t>E. 14</w:t>
      </w:r>
    </w:p>
    <w:p>
      <w:r>
        <w:t>Comme toute mesure étatique, la détention administrative en matière de droit des étrangers doit dans tous les cas respecter le principe de la proportionnalité (cf. art. 5 al. 2 et 36 Cst.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15</w:t>
      </w:r>
    </w:p>
    <w:p>
      <w:r>
        <w:t>En l'espèce, les autorités genevoises ont débuté les démarches en vue de la reprise en charge par un Etat Dublin de l’intéressé. Elles ont procédé, le 11 mars 2022, à son audition dans ce cadre et transmis ensuite tous les documents utiles au SEM par courriel du même jour. Il ressort de l’extrait Symic produit dans le dossier,</w:t>
      </w:r>
    </w:p>
    <w:p>
      <w:r>
        <w:t>- 9/11 - A/1020/2022 que l’ouverture de la procédure Dublin a été faite le 17 mars 2022. Elles sont dès lors dans l’attente d’informations du SEM sur la suite des démarches, sans qu’elles ne puissent interférer dans le processus en cours. Il leur appartient toutefois d’interpeler régulièrement le SEM afin de connaitre l’avancement des démarches et, cas échéant, d’en informer M. A______. Il ressort par ailleurs du dossier que M. A______ a été condamné à plusieurs reprises en Suisse, et notamment à deux reprises pour des infractions touchant à des stupéfiants, soit les 27 septembre 2018 et 11 mars 2022 ; il sied de relever que cette seconde infraction, même si elle ne porte que sur une faible quantité de drogue, concernait une drogue dure, soit de la cocaïne. Il ressort de l’audition par la police de M. A______ lors de son interpellation que, dans un premier temps, il a nié avoir vendu de la drogue sans toutefois avoir ensuite fait opposition à l’ordonnance pénale le condamnant notamment pour cette infraction. Par ailleurs, il est sans source de revenu et sans domicile, ce qui laisse craindre qu’il continue à s’adonner au trafic de stupéfiants pour gagner de l’argent s’il était remis en liberté. Enfin, il ressort des déclarations de l’intéressé le 11 mars 2022 qu’il n’est pas d’accord de repartir en Italie, pays dans lequel il a déjà été renvoyé à deux reprises et qu’il serait éventuellement d’accord de repartir en France. Il a par ailleurs, indiqué être revenu en Suisse pour trouver du travail alors qu’il est démuni de toute autorisation dans ce sens. Enfin, il a précisé vouloir quitter la Suisse par ses propres moyens et se rendre en France, alors même que sa demande d’asile a été refusée et qu’il ne ressort pas du dossier que les autorités françaises seraient disposées à le reprendre sur leur territoire, ni qu’elles en aient l’obligation dans le cadre de la procédure Dublin. Il découle de ce qui précède que le risque qu’il se soustraie à son renvoi dans le pays dans lequel celui-ci devra être effectué s’il était remis en liberté est avéré. Au vu de ces éléments, un pronostic défavorable quant à l'existence de garanties suffisantes que M. A______ se conformera à son obligation de quitter la Suisse pour un pays dans lequel il est autorité à séjourner, dont l'exécution répond à un intérêt public certain, peut donc être formulé, les autorités suisses devant par ailleurs pouvoir s'assurer du fait qu'il quittera bien le pays. Le risque qu'il disparaisse sans que l'on puisse vérifier son départ pour le pays responsable du traitement de sa demande d'asile apparaît ainsi suffisamment élevé, de sorte que toute autre mesure moins incisive que la détention administrative serait vaine pour assurer sa présence au moment où il devra monter dans l'avion ou prendre un autre moyen de transport devant le reconduire dans l'État Dublin chargé de sa prise en charge, étant notamment encore rappelé qu'à teneur du dossier, il ne dispose pas de moyens de subsistance et n'a ni lieu de séjour ou attaches en Suisse. Il convient ainsi d'admettre que les conditions prévues par l'art. 76a al. 1 et 2 LEI sont réunies et que la détention est conforme au principe de proportionnalité.</w:t>
      </w:r>
    </w:p>
    <w:p>
      <w:r>
        <w:t>- 10/11 - A/1020/2022</w:t>
      </w:r>
    </w:p>
    <w:p>
      <w:r>
        <w:rPr>
          <w:b/>
        </w:rPr>
        <w:t>E. 16</w:t>
      </w:r>
    </w:p>
    <w:p>
      <w:r>
        <w:t>Par ailleurs, la durée de la détention décidée par l'officier de police (soit sept semaines) respecte le cadre légal fixé par l'art. 76a al. 3 let. a LEI et est adéquate pour assurer l'exécution du renvoi (cf. ATA/76/2018 du 26 janvier 2018 ; ATA/672/2016 du 8 août 2016 consid. 7c ; ATA/949/2015 du 18 septembre 2015 consid. 8). Cette durée est quoi qu'il en soit relative puisque, compte-tenu des démarches en cours, il est tout à fait possible que la décision du SEM puisse intervenir dans un délai plus court. Enfin, les démarches nécessaires à l'exécution du renvoi ont été entreprises comme déjà indiqué précédemment.</w:t>
      </w:r>
    </w:p>
    <w:p>
      <w:r>
        <w:rPr>
          <w:b/>
        </w:rPr>
        <w:t>E. 17</w:t>
      </w:r>
    </w:p>
    <w:p>
      <w:r>
        <w:t>Au vu de ce qui précède, il y a lieu de confirmer l'ordre de mise en détention administrative litigieux.</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- 11/11 - A/1020/2022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