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JTAPI/321/2025 vom 31. März 2025</w:t>
      </w:r>
    </w:p>
    <w:p>
      <w:r>
        <w:t>GE Cour de justice, 2025-03-31, FR</w:t>
      </w:r>
    </w:p>
    <w:p>
      <w:r>
        <w:rPr>
          <w:b/>
        </w:rPr>
        <w:t xml:space="preserve">Quelle: </w:t>
      </w:r>
      <w:r>
        <w:t>https://mcp.opencaselaw.ch/entscheid/ge_gerichte_JTAPI_321_2025</w:t>
      </w:r>
    </w:p>
    <w:p>
      <w:r>
        <w:t>FR: GE_GERICHTE JTAPI/321/2025 du 31 mars 2025</w:t>
      </w:r>
    </w:p>
    <w:p>
      <w:r>
        <w:t>IT: GE_GERICHTE JTAPI/321/2025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- 4/9 - A/4045/2024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la décision sur réclamation est, comme en l’espèce, une décision d’irrece- vabilité, seule cette question peut faire l’objet du recours et non pas la taxation en tant que telle. Dans un tel cas, l’autorité de recours doit en effet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uniquement de déterminer si c’est à bon droit que l’AFC-GE a estimé que la réclamation du 21 octobre 2024 a été déposée tardivement. Il s’ensuit que le tribunal n’a pas à examiner les griefs du recourant.</w:t>
      </w:r>
    </w:p>
    <w:p>
      <w:r>
        <w:rPr>
          <w:b/>
        </w:rPr>
        <w:t>E. 5</w:t>
      </w:r>
    </w:p>
    <w:p>
      <w:r>
        <w:t>À titre liminaire, il convient toutefois de déterminer si l’AFC-GE n’a pas erré en imposant le recourant par le biais d’une taxation ordinaire en lieu et place d’une imposition à la source, ce qui pourrait constituer un cas de nullité.</w:t>
      </w:r>
    </w:p>
    <w:p>
      <w:r>
        <w:rPr>
          <w:b/>
        </w:rPr>
        <w:t>E. 6</w:t>
      </w:r>
    </w:p>
    <w:p>
      <w:r>
        <w:t>En vertu de l’art. 1 al. 1 de la loi sur l’imposition à la source des personnes physiques et morales du 23 septembre 1994 (LISP - D 3 20), les travailleurs étrangers sans autorisation d’établissement qui sont domiciliés ou en séjour dans le canton au regard du droit fiscal et les enfants mineurs, quelle que soit leur nationalité, sont assujettis à un impôt perçu à la source sur le revenu de leur activité lucrative dépendante. En sont exclus les revenus soumis à l’imposition selon la procédure simplifiée de l’art. 44 de la loi sur l’imposition des personnes physiques du 27 septembre 2009 (LIPP - D 3 08). Selon l’art. 4 al. 1 LISP, les personnes imposées à la source en vertu de l’art. 1 al. 1 sont soumises à une taxation ordinaire ultérieure si, alternativement : leurs revenus bruts atteignent ou dépassent un certain montant durant une année fiscale (let. a) ; les revenus dont elles disposent ne sont pas soumis à l’impôt à la source (let. b); elles disposent d’une fortune imposable (let. c). L’art. 7 du règlement d’application de la loi sur l’imposition à la source des personnes physiques et morales du 12 décembre 1994 (RISP - D 3 20.01) stipule qu’une personne est soumise à la taxation ordinaire ultérieure au sens de l’art. 4 al. 1 let. a de la loi lorsque ses revenus bruts provenant d’une activité lucrative dépendante s’élèvent, durant une année fiscale, à CHF 120’000.- au moins (al. 1). Le montant minimal se calcule, en cas d’assujettissement inférieur à 12 mois, selon les dispositions de l’art. 62 al. 3 LIPP.</w:t>
      </w:r>
    </w:p>
    <w:p>
      <w:r>
        <w:rPr>
          <w:b/>
        </w:rPr>
        <w:t>E. 7</w:t>
      </w:r>
    </w:p>
    <w:p>
      <w:r>
        <w:t>Selon l’art. 62 al. 3 LIPP, si les conditions d’assujettissement ne sont réalisées que durant une partie de la période fiscale, l’impôt est prélevé sur les revenus obtenus durant cette période. Pour les revenus à caractère périodique, le taux de l’impôt se</w:t>
      </w:r>
    </w:p>
    <w:p>
      <w:r>
        <w:t>- 5/9 - A/4045/2024 détermine compte tenu d’un revenu calculé sur 12 mois. Les revenus à caractère non périodique sont soumis à un impôt annuel entier, mais ne sont pas convertis en un revenu annuel pour le calcul du taux. L’art. 45 est réservé.</w:t>
      </w:r>
    </w:p>
    <w:p>
      <w:r>
        <w:rPr>
          <w:b/>
        </w:rPr>
        <w:t>E. 8</w:t>
      </w:r>
    </w:p>
    <w:p>
      <w:r>
        <w:t>Les revenus à caractère périodique correspondent à des revenus obtenus à inter- valles réguliers (mensuellement, trimestriellement ou semestriellement) au cours de la période fiscale. Les revenus acquis en une seule fois au cours de la période fiscale correspondent en revanche à des revenus à caractère non périodique. Le salaire mensuel, également celui provenant d’une activité à temps partiel, est un revenu à caractère périodique (ATA/440/2022 du 26 avril 2022 consid. 4b).</w:t>
      </w:r>
    </w:p>
    <w:p>
      <w:r>
        <w:rPr>
          <w:b/>
        </w:rPr>
        <w:t>E. 9</w:t>
      </w:r>
    </w:p>
    <w:p>
      <w:r>
        <w:t>En l’occurrence, les revenus réalisés par le recourant en 2022 s’élèvent au montant de CHF 34’034.-. Annualisé, ce montant dépasse la somme de CHF 136’000.-, soit plus que la limite de CHF 120’000.- prévue par les art. 4 al. 1 let. a LISP et 7 al. 1 RISP, ce qui implique une taxation ordinaire ultérieure. L’AFC-GE ne s’est donc pas trompée en taxant le contribuable sous le régime de la taxation ordinaire et non celui de l’imposition à la source.</w:t>
      </w:r>
    </w:p>
    <w:p>
      <w:r>
        <w:rPr>
          <w:b/>
        </w:rPr>
        <w:t>E. 10</w:t>
      </w:r>
    </w:p>
    <w:p>
      <w:r>
        <w:t>Aux termes des art. 132 al. 1 LIFD et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w:t>
      </w:r>
    </w:p>
    <w:p>
      <w:r>
        <w:rPr>
          <w:b/>
        </w:rPr>
        <w:t>E. 11</w:t>
      </w:r>
    </w:p>
    <w:p>
      <w:r>
        <w:t>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 dances ultérieur ou le comportement du destinataire (ATF 142 IV 125 consid. 4.3). Selon la jurisprudence, en cas d’envoi de décisions sous pli simple, comme en l’espèce, on admet que la décision entreprise a été réceptionnée quelques jours après son expédition (ATA/1373/2018 du 18 décembre 2018 consid. 7c et les références citées). Il appartient à l’administré qui réclame ou qui recourt d’établir qu’il l’a fait dans le respect du délai légal (ATA/899/2015 du 1er septembre 2015 ; ATA/243/2015 du 3 mars 2015; cf. aussi Pierre MOOR/Etienne POLTIER, Droit administratif, vol. II, 3ème éd. 2011, n° 2.2.6.7 p. 304).</w:t>
      </w:r>
    </w:p>
    <w:p>
      <w:r>
        <w:rPr>
          <w:b/>
        </w:rPr>
        <w:t>E. 12</w:t>
      </w:r>
    </w:p>
    <w:p>
      <w:r>
        <w:t>Selon les art. 133 al. 3 LIFD et 41 al. 3 LPFisc, une réclamation tardive n’est recevable que si le contribuable établit que par suite de service militaire, de service</w:t>
      </w:r>
    </w:p>
    <w:p>
      <w:r>
        <w:t>- 6/9 - A/4045/2024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w:t>
      </w:r>
    </w:p>
    <w:p>
      <w:r>
        <w:rPr>
          <w:b/>
        </w:rPr>
        <w:t>E. 13</w:t>
      </w:r>
    </w:p>
    <w:p>
      <w:r>
        <w:t>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arrêts du Tribunal fédéral 9C_524/2024 du 7 janvier 2025 consid. 7.2 ; 9C_113/2024 du 6 août 2024 consid. 3.1), ce qui ne constitue pas une violation de l’interdiction du formalisme excessif (arrêt du Tribunal fédéral 2C_ 203/2011 du 22 juin 2011 consid. 3.4). Si le contribuable a fait l’objet d’une taxation d’office parce qu’il n’avait pas déposé de déclaration d’impôt, il remplit en général les exigences formelles de motivation de la réclamation en déposant une déclaration d’impôt dûment remplie (arrêt du Tribunal fédéral 2C_61/2021 du 22 décembre 2021 consid. 4.3).</w:t>
      </w:r>
    </w:p>
    <w:p>
      <w:r>
        <w:rPr>
          <w:b/>
        </w:rPr>
        <w:t>E. 14</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(ATA/1297/2024 du 5 novembre 2024 consid. 2.4). Le strict respect des délais légaux se justifie pour des raisons d’égalité de traitement et par un intérêt public lié à une bonne administration de la justice et à la sécurité du droit (ATF 142 V 152 consid. 4.2 ; arrêt du Tribunal fédéral 8D_6/2016 du 1er juin 2017 consid. 3.2) et n’est pas constitutif de formalisme excessif (ATF 125 V 65 consid. 1 ; arrêt du Tribunal fédéral 6B_811/2022 du 15 septembre 2022 consid. 2).</w:t>
      </w:r>
    </w:p>
    <w:p>
      <w:r>
        <w:rPr>
          <w:b/>
        </w:rPr>
        <w:t>E. 15</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w:t>
      </w:r>
    </w:p>
    <w:p>
      <w:r>
        <w:rPr>
          <w:b/>
        </w:rPr>
        <w:t>E. 18</w:t>
      </w:r>
    </w:p>
    <w:p>
      <w:r>
        <w:t>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w:t>
      </w:r>
    </w:p>
    <w:p>
      <w:r>
        <w:t>- 8/9 - A/4045/2024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19</w:t>
      </w:r>
    </w:p>
    <w:p>
      <w:r>
        <w:t>En l’occurrence, force est de constater, avec l’AFC-GE, que les conditions d’entrée en matière sur une révision de la taxation litigieuse ne sont manifestement pas remplies, dès lors que le recourant invoque des motifs de fond qu’il aurait déjà pu faire valoir au cours de la procédure ordinaire de réclamation, s’il avait fait preuve de toute la diligence qui pouvait raisonnablement être exigée de lui, ce qu’il n’a pas fait. Il ne peut dès lors pas le faire par le biais de la voie extraordinaire de révision, cette procédure étant réservée exclusivement aux cas où des éléments n’ont pas pu être invoqués dans le cadre de la procédure ordinaire.</w:t>
      </w:r>
    </w:p>
    <w:p>
      <w:r>
        <w:rPr>
          <w:b/>
        </w:rPr>
        <w:t>E. 20</w:t>
      </w:r>
    </w:p>
    <w:p>
      <w:r>
        <w:t>Ne reposant sur aucun motif valable, le recours doit être rejeté.</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- 9/9 - A/4045/2024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