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JTAPI/318/2023 vom 16. März 2023</w:t>
      </w:r>
    </w:p>
    <w:p>
      <w:r>
        <w:t>GE Cour de justice, 2023-03-16, FR</w:t>
      </w:r>
    </w:p>
    <w:p>
      <w:r>
        <w:rPr>
          <w:b/>
        </w:rPr>
        <w:t xml:space="preserve">Quelle: </w:t>
      </w:r>
      <w:r>
        <w:t>https://mcp.opencaselaw.ch/entscheid/ge_gerichte_JTAPI_318_2023</w:t>
      </w:r>
    </w:p>
    <w:p>
      <w:r>
        <w:t>FR: GE_GERICHTE JTAPI/318/2023 du 16 mars 2023</w:t>
      </w:r>
    </w:p>
    <w:p>
      <w:r>
        <w:t>IT: GE_GERICHTE JTAPI/318/2023 del 16 marzo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Il convient tout d'abord d'examiner, si, comme le soutient le recourant, l'amende litigieuse ne serait pas justifiée dans son principe.</w:t>
      </w:r>
    </w:p>
    <w:p>
      <w:r>
        <w:rPr>
          <w:b/>
        </w:rPr>
        <w:t>E. 4</w:t>
      </w:r>
    </w:p>
    <w:p>
      <w:r>
        <w:t>De façon générale, la police des constructions institue un système d'autorisation dans lequel les architectes mandataires jouent un rôle central. Ainsi prévoit-elle que toute demande d'autorisation doit être établie et signée par une personne inscrite au tableau des MPQ (art. 2 al. 3 de la loi sur les constructions et les installations diverses du 14 avril 1988 - LCI - L 5 05). Aux termes de l’art. 6 LCI, la direction des travaux dont l’exécution est soumise à autorisation de construire doit être assurée par un mandataire inscrit au tableau des MPQ, dont les capacités professionnelles correspondent à la nature de l’ouvrage. Demeurent réservées les constructions ou installations d’importance secondaire, qui font l’objet de dispositions spéciales édictées par voie réglementaire (al. 1). Le mandataire commis à la direction des travaux en répond à l’égard de l’autorité jusqu’à réception de l’avis d’extinction de son mandat (al. 2). Conformément à l’art. 151 LCI, le Conseil d’État fixe par règlements les dispositions relatives à la sécurité et la salubrité des constructions et installations de tout genre, qu’elles soient définitives ou provisoires (let. c), à la sécurité et à la prévention des accidents sur les chantiers (let. d).</w:t>
      </w:r>
    </w:p>
    <w:p>
      <w:r>
        <w:t>- 5/9 - A/2961/2022</w:t>
      </w:r>
    </w:p>
    <w:p>
      <w:r>
        <w:rPr>
          <w:b/>
        </w:rPr>
        <w:t>E. 5</w:t>
      </w:r>
    </w:p>
    <w:p>
      <w:r>
        <w:t>Aux termes de l’art. 1 du règlement sur les chantiers du 30 juillet 1958 (RChant - L 5 05.03), la prévention des accidents sur les chantiers et les mesures à prendre pour assurer la sécurité et la protection de la santé des travailleurs, ainsi que la sécurité du public, des ouvrages et de leurs abords sont réglées par les dispositions dudit règlement (al. 1). Sont tenus de s’y conformer tous les participants à l’acte de construire, démolir, transformer, entretenir, c’est-à-dire toutes les personnes exécutant des travaux se rapportant à l’activité du bâtiment ou du génie civil ainsi que les personnes physiques ou morales employant des travailleurs à cet effet. Il en est de même des personnes chargées de la surveillance des travaux, notamment pour le compte des bureaux d’ingénieurs, d’architectes, des entreprises générales et des coordonnateurs de sécurité et de santé (al. 2). En vertu de l’art. 3 al. 1 RChant, le travail doit s’exécuter en prenant, en plus des mesures ordonnées par ledit règlement, toutes les précautions commandées par les circonstances et par les usages de la profession. À teneur de l’art. 49 al. 5 RChant, les échelles doivent être disposées de façon à ne pouvoir ni glisser, ni basculer, ni se renverser. Elles doivent dépasser le niveau desservi de 1 m(10) au moins ou être prolongées par un montant de même hauteur formant main courante. Selon l'art. 92 RChant des échafaudages, conformes aux prescriptions de l’ordonnance sur les travaux de construction, sont prescrits pour tout travail de construction de bâtiments exécuté à une hauteur de chute supérieure à 3 m. Le garde-corps supérieur de l’échafaudage doit, pendant toute la durée des travaux de construction, dépasser de 1 m au moins le bord de la zone la plus élevée présentant un risque de chutes. Conformément à l’art. 99 RChant intitulé « garde-corps pour poste de travail », tout poste de travail doit être muni de garde-corps réglementaires sur toutes les faces exposées au vide dès qu’il atteint 2 m de hauteur (al. 1). Ces garde-corps doivent rester en place jusqu’à l’achèvement de tous les travaux (al. 2).</w:t>
      </w:r>
    </w:p>
    <w:p>
      <w:r>
        <w:rPr>
          <w:b/>
        </w:rPr>
        <w:t>E. 6</w:t>
      </w:r>
    </w:p>
    <w:p>
      <w:r>
        <w:t>D'autres dispositions, incorporées à l'ordonnance sur la sécurité et la protection de la santé des travailleurs dans les travaux de construction du 29 juin 2005 (Ordonnance sur les travaux de construction, OTConst - RS 832.311.141), font également l'objet de contraventions à teneur de la décision litigieuse, mais sans emporter en l'espèce la commission d'infractions supplémentaires par rapport à celles qui découlent des dispositions susmentionnées du RChant.</w:t>
      </w:r>
    </w:p>
    <w:p>
      <w:r>
        <w:rPr>
          <w:b/>
        </w:rPr>
        <w:t>E. 7</w:t>
      </w:r>
    </w:p>
    <w:p>
      <w:r>
        <w:t>Le recourant ne conteste en l'espèce ni le fait qu'il était responsable de la direction des travaux et, à ce titre, de la sécurité du chantier, ni les défauts relatifs à la sécurité du chantier, tels que constatés dans le rapport d'enquête du 10 mai 2022. En revanche, il considère avoir pris toutes les mesures nécessaires et n'avoir ainsi commis aucune faute.</w:t>
      </w:r>
    </w:p>
    <w:p>
      <w:r>
        <w:t>- 6/9 - A/2961/2022</w:t>
      </w:r>
    </w:p>
    <w:p>
      <w:r>
        <w:rPr>
          <w:b/>
        </w:rPr>
        <w:t>E. 8</w:t>
      </w:r>
    </w:p>
    <w:p>
      <w:r>
        <w:t>Le tribunal ne saurait suivre cet argument que dans l'hypothèse très particulière d'une rupture du lien de causalité adéquate entre le comportement du recourant et les éléments constitutifs des infractions commises, à savoir si ces derniers résultaient d'une autre cause concomitante constituant une circonstance tout à fait exceptionnelle ou apparaissant si extraordinaire que l'on ne pouvait pas s'y attendre (ATF 131 IV 145 consid. 5.2 p. 148). Or, le simple empêchement dans lequel s'est trouvée l'entreprise chargée par le recourant de la pose de l'échafaudage ne constitue nullement un événement exceptionnel ou extraordinaire tel que sa survenance ne pouvait a priori être envisagée. En réalité, il appartenait au recourant, quand bien même il avait affaire à un interlocuteur en qui il avait toute confiance, de vérifier ou d'obtenir confirmation du fait que l'échafaudage demandé avait bel et bien été posé. N'ayant obtenu de cet interlocuteur aucune réponse à son courriel du 2 mai 2022, le recourant aurait dû d'autant plus veiller à la suite donnée à sa demande.</w:t>
      </w:r>
    </w:p>
    <w:p>
      <w:r>
        <w:rPr>
          <w:b/>
        </w:rPr>
        <w:t>E. 9</w:t>
      </w:r>
    </w:p>
    <w:p>
      <w:r>
        <w:t>Dans ces conditions, il apparaît que, sur le principe, l'amende est bien fondée.</w:t>
      </w:r>
    </w:p>
    <w:p>
      <w:r>
        <w:rPr>
          <w:b/>
        </w:rPr>
        <w:t>E. 10</w:t>
      </w:r>
    </w:p>
    <w:p>
      <w:r>
        <w:t>Selon l'art. 137 LCI, est passible d'une amende administrative de CHF 100.- à CHF 150'000.- tout contrevenant à la LCI, à ses règlements d'application, ainsi qu'aux ordres du DT (art. 137 al. 1 LCI). Il est tenu compte, dans la fixation du montant de l'amende, du degré de gravité de l'infraction. Constituent notamment des circonstances aggravantes la violation des prescriptions susmentionnées par cupidité ou les cas de récidive (art. 137 al. 3 LCI).</w:t>
      </w:r>
    </w:p>
    <w:p>
      <w:r>
        <w:rPr>
          <w:b/>
        </w:rPr>
        <w:t>E. 11</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(ATA/13/2020 du 7 janvier 2020 consid. 7b ; ATA/440/2019 du 16 avril 2019 ; ATA/19/2018 du 9 janvier 2018).</w:t>
      </w:r>
    </w:p>
    <w:p>
      <w:r>
        <w:rPr>
          <w:b/>
        </w:rPr>
        <w:t>E. 12</w:t>
      </w:r>
    </w:p>
    <w:p>
      <w:r>
        <w:t>En vertu de l'art. 1 let. a de la loi pénale genevoise du 17 novembre 2006 (LPG - E 4 05), les dispositions de la partie générale du CP s'appliquent à titre de droit cantonal supplétif. On doit cependant réserver celles qui concernent exclusivement le juge pénal (ATA/440/2019 précité ; ATA/19/2018 précité).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de la Constitution fédérale de la Confédération suisse du 18 avril 1999 - Cst. - RS 101 ; ATA/824/2015 précité consid. 14c et les références citées).</w:t>
      </w:r>
    </w:p>
    <w:p>
      <w:r>
        <w:t>- 7/9 - A/2961/2022</w:t>
      </w:r>
    </w:p>
    <w:p>
      <w:r>
        <w:rPr>
          <w:b/>
        </w:rPr>
        <w:t>E. 13</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ATA/19/2018 précité).</w:t>
      </w:r>
    </w:p>
    <w:p>
      <w:r>
        <w:rPr>
          <w:b/>
        </w:rPr>
        <w:t>E. 14</w:t>
      </w:r>
    </w:p>
    <w:p>
      <w:r>
        <w:t>Dans sa jurisprudence récente, la chambre administrative de la Cour de justice a confirmé à plusieurs reprises, dans des situations qui ne révélaient pas d'antécédents, des amendes de CHF 5'000.- tenant compte en particulier du nombre et de la gravité des infractions constatées (ATA/131/2023 du 7 février 2023 ; ATA/142/2022 du 8 février 2022 ; ATA/440/2019 du 16 avril 2019), voire de CHF 15'000.- en cas de récidive (ATA/706/2022 du 5 juillet 2022).</w:t>
      </w:r>
    </w:p>
    <w:p>
      <w:r>
        <w:rPr>
          <w:b/>
        </w:rPr>
        <w:t>E. 15</w:t>
      </w:r>
    </w:p>
    <w:p>
      <w:r>
        <w:t>Eu égard à cette jurisprudence, on pourrait a priori considérer que l'autorité intimée a fait une correcte application du principe de proportionnalité, en tenant compte du nombre réduit des infractions commises et de leur faible durée. Comme déjà rappelé plus haut, la sévérité dont l'administration doit d'autant plus faire preuve que les biens juridiques protégés sont importants, vise non seulement à prévenir la récidive, mais a également un but de prévention générale qu'il n'est pas possible d'atteindre lorsque la sanction apparaît trop faible. Cela étant, l'absence d'antécédent est une circonstance qui n'est pas tout à fait univoque et dont la portée réelle, en particulier en ce qui concerne les sanctions pour faute professionnelle, se mesure en fonction de la durée pendant laquelle la personne concernée a exercé son activité sans jamais avoir été sanctionné. Plus cette durée est longue, plus l'observation des devoirs professionnels prend de relief dans le parcours de cette personne et il n'y a certainement pas lieu de sanctionner de la même manière un architecte qui a assuré sans problème la direction de travaux durant près de 30 ans, comme en l'espèce, et un autre dont la première infraction interviendrait après 10 ans de pratique. Dans cette mesure, il apparaît qu'une amende de CHF 1'500.-, qui n'est pas en soi tout à fait négligeable pour une personne privée, devrait être amplement suffisante pour rappeler au recourant que ses responsabilités impliquent de contrôler la bonne application des instructions qu'il donne à d'autres.</w:t>
      </w:r>
    </w:p>
    <w:p>
      <w:r>
        <w:rPr>
          <w:b/>
        </w:rPr>
        <w:t>E. 16</w:t>
      </w:r>
    </w:p>
    <w:p>
      <w:r>
        <w:t>Compte tenu de ce qui précède, le recours sera partiellement admis et l'amende réduite à CHF 1'500.-.</w:t>
      </w:r>
    </w:p>
    <w:p>
      <w:r>
        <w:rPr>
          <w:b/>
        </w:rPr>
        <w:t>E. 17</w:t>
      </w:r>
    </w:p>
    <w:p>
      <w:r>
        <w:t>En application des art. 87 al. 1 LPA et 1 et 2 du règlement sur les frais, émoluments et indemnités en procédure administrative du 30 juillet 1986 (RFPA - E 5 10.03), le recourant, qui obtient partiellement gain de cause, est condamné au</w:t>
      </w:r>
    </w:p>
    <w:p>
      <w:r>
        <w:t>- 8/9 - A/2961/2022 paiement d’un émolument réduit s'élevant à CHF 400.- ; il est couvert par l’avance de frais de CHF 900.- versée à la suite du dépôt du recours. Le solde de l'avance de frais de CHF 500.- sera restitué au recourant.</w:t>
      </w:r>
    </w:p>
    <w:p>
      <w:r>
        <w:rPr>
          <w:b/>
        </w:rPr>
        <w:t>E. 18</w:t>
      </w:r>
    </w:p>
    <w:p>
      <w:r>
        <w:t>Vu l’issue du litige, aucune indemnité de procédure ne sera allouée (art. 87 al. 2 LPA).</w:t>
      </w:r>
    </w:p>
    <w:p>
      <w:r>
        <w:t>- 9/9 - A/2961/2022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