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JTAPI/315/2024 vom 10. April 2024</w:t>
      </w:r>
    </w:p>
    <w:p>
      <w:r>
        <w:t>GE Cour de justice, 2024-04-10, FR</w:t>
      </w:r>
    </w:p>
    <w:p>
      <w:r>
        <w:rPr>
          <w:b/>
        </w:rPr>
        <w:t xml:space="preserve">Quelle: </w:t>
      </w:r>
      <w:r>
        <w:t>https://mcp.opencaselaw.ch/entscheid/ge_gerichte_JTAPI_315_2024</w:t>
      </w:r>
    </w:p>
    <w:p>
      <w:r>
        <w:t>FR: GE_GERICHTE JTAPI/315/2024 du 10 avril 2024</w:t>
      </w:r>
    </w:p>
    <w:p>
      <w:r>
        <w:t>IT: GE_GERICHTE JTAPI/315/2024 del 10 aprile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 3.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w:t>
      </w:r>
    </w:p>
    <w:p>
      <w:r>
        <w:t>- 6/10 - A/4128/2023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8</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9</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10</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t>- 7/10 - A/4128/2023</w:t>
      </w:r>
    </w:p>
    <w:p>
      <w:r>
        <w:rPr>
          <w:b/>
        </w:rPr>
        <w:t>E. 11</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 Selon l'al. 2 de cette disposition, le médecin qui procède à l'examen d'évaluation de l'aptitude à la conduite doit : a) avoir obtenu une reconnaissance de niveau 4 dans les cas visés à l'art. 15d al. 1 let. a et b LCR; b) avoir obtenu au minimum une reconnaissance de niveau 3 dans les cas visés à l'art. 15d al. 1 let. d et e LCR.</w:t>
      </w:r>
    </w:p>
    <w:p>
      <w:r>
        <w:rPr>
          <w:b/>
        </w:rPr>
        <w:t>E. 12</w:t>
      </w:r>
    </w:p>
    <w:p>
      <w:r>
        <w:t>Aux termes de l'art. 16d al. 1 let. b LCR, le permis d'élève conducteur ou le permis de conduire est retiré pour une durée indéterminée à la personne qui souffre d'une forme de dépendance la rendant inapte à la conduite. La consommation de stupéfiants est considérée comme une dépendance aux drogues au sens de cette disposition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p. 86; 127 II 122 consid. 3c p. 126; 124 II 559 consid. 3d p. 564; arrêt 1C_328/2013 du 18 septembre 2013 consid. 3.1).</w:t>
      </w:r>
    </w:p>
    <w:p>
      <w:r>
        <w:rPr>
          <w:b/>
        </w:rPr>
        <w:t>E. 13</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14</w:t>
      </w:r>
    </w:p>
    <w:p>
      <w:r>
        <w:t>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 3.1 ; arrêts du Tribunal fédéral 1C_557/2014du 9 décembre 2014 consid. 3 ; 1C_819 du 25 novembre 2013 consid. 2 ; 1C_593/2012 du 28 mars 2013 consid. 3.1 ;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w:t>
      </w:r>
    </w:p>
    <w:p>
      <w:r>
        <w:t>- 8/10 - A/4128/2023</w:t>
      </w:r>
    </w:p>
    <w:p>
      <w:r>
        <w:rPr>
          <w:b/>
        </w:rPr>
        <w:t>E. 15</w:t>
      </w:r>
    </w:p>
    <w:p>
      <w:r>
        <w:t>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rPr>
          <w:b/>
        </w:rPr>
        <w:t>E. 16</w:t>
      </w:r>
    </w:p>
    <w:p>
      <w:r>
        <w:t>Un tel doute peut reposer sur de simples indices, en particulier lorsqu'il en va d'une dépendance en matière de produits stupéfiants (cf. arrêt du Tribunal fédéral 1C_593/2012 du 28 mars 2013 consid. 3.1).</w:t>
      </w:r>
    </w:p>
    <w:p>
      <w:r>
        <w:rPr>
          <w:b/>
        </w:rPr>
        <w:t>E. 17</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w:t>
      </w:r>
    </w:p>
    <w:p>
      <w:r>
        <w:rPr>
          <w:b/>
        </w:rPr>
        <w:t>E. 18</w:t>
      </w:r>
    </w:p>
    <w:p>
      <w:r>
        <w:t>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w:t>
      </w:r>
    </w:p>
    <w:p>
      <w:r>
        <w:rPr>
          <w:b/>
        </w:rPr>
        <w:t>E. 19</w:t>
      </w:r>
    </w:p>
    <w:p>
      <w:r>
        <w:t>Selon le Guide d’aptitude à la conduite du 27 novembre 2020, en matière de stupéfiants, dans le cadre d’une consommation répétée de cocaïne, d’héroïne ou d’amphétamines au cours des six derniers mois, la détermination de l’aptitude à la conduite se fait par une expertise de niveau 4, avec en règle général un retrait préventif du permis de conduire, selon l’art. 15d al. 1 LCR et 28a OAC.</w:t>
      </w:r>
    </w:p>
    <w:p>
      <w:r>
        <w:rPr>
          <w:b/>
        </w:rPr>
        <w:t>E. 20</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w:t>
      </w:r>
    </w:p>
    <w:p>
      <w:r>
        <w:t>- 9/10 - A/4128/2023</w:t>
      </w:r>
    </w:p>
    <w:p>
      <w:r>
        <w:rPr>
          <w:b/>
        </w:rPr>
        <w:t>E. 21</w:t>
      </w:r>
    </w:p>
    <w:p>
      <w:r>
        <w:t>En l'espèce, la question à trancher est celle de savoir s'il existe des doutes suffisants quant à l'aptitude à la conduite du recourant, susceptibles de justifier la mise en œuvre d'une expertise. Pour fonder sa décision, l’OCV s'appuie sur le fait que le recourant a reconnu dans le cadre de la procédure pénale ayant abouti à sa condamnation par ordonnance pénale du 21 février 2024 consommer de la cocaïne de manière occasionnelle, lors de fêtes depuis 2020 ; il reconnaissait sniffer un rail de cocaïne tous les trois mois environ. Sa condamnation pénale retenait dès lors une infraction à l’art. 19a ch. 1 LStup a réitérées reprises, condamnation n’ayant pas été contestée et étant donc entrée en force. Dans le cadre de la présente procédure, qui est ultérieure à la procédure pénale susmentionnée, le recourant minimise sa consommation, ne reconnaissant finalement qu’une consommation non régulière, lors d’événements sporadiques et portant sur d’infimes quantité de cocaïne. Or, en application de la jurisprudence précitée, il doit être retenu que le recourant, comme il l’a reconnu lors de son audition par le police le 25 août 2023, consomme depuis 2020 de la cocaïne à raison d’un rail tous les trois mois, déclaration ayant par ailleurs conduit au prononcé de l’ordonnance pénale du 21 février 2024, non contestée. Dès lors, c’est à juste titre que l’OCV conçoit des doutes sérieux sur l’aptitude à la conduite du recourant et a ordonné une expertise auprès d’un médecin de niveau 4.</w:t>
      </w:r>
    </w:p>
    <w:p>
      <w:r>
        <w:rPr>
          <w:b/>
        </w:rPr>
        <w:t>E. 22</w:t>
      </w:r>
    </w:p>
    <w:p>
      <w:r>
        <w:t>Mal fondé, le recours sera rejeté.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- 10/10 - A/4128/2023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