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JTAPI/30/2024 vom 16. Januar 2024</w:t>
      </w:r>
    </w:p>
    <w:p>
      <w:r>
        <w:t>GE Cour de justice, 2024-01-16, FR</w:t>
      </w:r>
    </w:p>
    <w:p>
      <w:r>
        <w:rPr>
          <w:b/>
        </w:rPr>
        <w:t xml:space="preserve">Quelle: </w:t>
      </w:r>
      <w:r>
        <w:t>https://mcp.opencaselaw.ch/entscheid/ge_gerichte_JTAPI_30_2024</w:t>
      </w:r>
    </w:p>
    <w:p>
      <w:r>
        <w:t>FR: GE_GERICHTE JTAPI/30/2024 du 16 janvier 2024</w:t>
      </w:r>
    </w:p>
    <w:p>
      <w:r>
        <w:t>IT: GE_GERICHTE JTAPI/30/2024 del 16 gennaio 2024</w:t>
      </w:r>
    </w:p>
    <w:p>
      <w:pPr>
        <w:pStyle w:val="Heading2"/>
      </w:pPr>
      <w:r>
        <w:t>Erwägungen</w:t>
      </w:r>
    </w:p>
    <w:p>
      <w:r>
        <w:rPr>
          <w:b/>
        </w:rPr>
        <w:t>E. 1</w:t>
      </w:r>
    </w:p>
    <w:p>
      <w:r>
        <w:t>Le Tribunal administratif de première instance est compétent pour prolonger la détention pour insoumission de deux mois, puis à nouveau de deux mois tous les</w:t>
      </w:r>
    </w:p>
    <w:p>
      <w:r>
        <w:t>- 9/12 - A/44/2024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6</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7</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w:t>
      </w:r>
    </w:p>
    <w:p>
      <w:r>
        <w:t>- 10/12 - A/44/2024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8</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9</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10</w:t>
      </w:r>
    </w:p>
    <w:p>
      <w:r>
        <w:t>En l'occurrence, sur le principe, la détention pour insoumission de M. A______ a déjà été confirmée par le tribunal, la dernière fois par jugement du 14 novembre 2023 (JTAPI/5______/2023 précité). Comme l’a déjà rappelé le tribunal dans son dernier jugement, l’intéressé s’est opposé à son renvoi en Algérie à deux reprises et ses intentions restent tout à fait claires, il n’entend pas collaborer à son renvoi, comme il l'a encore exprimé dans sa déclaration du 7 novembre 2023, lors du l’audience devant le tribunal 14 novembre 2023 et à l'audience du 15 janvier 2024. Il résulte pour le surplus du dossier que les autorités algériennes avaient dans un premier temps été d'accord de délivrer un laissez-passer, et que leur refus semble vraisemblablement être lié à la prise de contact de l’intéressé avec le consulat algérien afin d’obtenir des documents d’identité algérien pour son fils. Le SEM ignorait les motifs du refus mais confirmait, dans son courriel du 8 janvier 2024, que si l’intéressé se mettait en contact avec le consulat, les choses pourraient avancer. Il apparait ainsi que les conditions d'une détention pour insoumission sont toujours remplies ; les vols spéciaux à destination de l'Algérie n’étant pas possibles, la collaboration de l'intéressé est en effet indispensable à son renvoi. Quant à la proportionnalité de sa détention, comme déjà retenu par le tribunal, on ne voit pas en quoi une mise en liberté et une assignation territoriale seraient des mesures adaptées en vue de l'exécution du renvoi ni en quoi elles rendraient M. A______ plus enclin à retourner en Algérie dans ces conditions qu'en étant maintenu en détention. L’on relèvera encore que sa situation familiale ne s’est pas modifiée depuis le prononcé du JTAPI/4______/2023, aucune démarche, notamment en lien avec le projet de mariage de M. A______ n’ayant été entamée ; le fait de verser de l'argent pour l'entretien de son fils est par ailleurs sans</w:t>
      </w:r>
    </w:p>
    <w:p>
      <w:r>
        <w:t>- 11/12 - A/44/2024 incidence. Il ne se justifie ainsi pas de s’écarter du dernier jugement du tribunal à cet égard. Partant, la détention ordonnée respecte également le principe de proportionnalité sous cet angle.</w:t>
      </w:r>
    </w:p>
    <w:p>
      <w:r>
        <w:rPr>
          <w:b/>
        </w:rPr>
        <w:t>E. 11</w:t>
      </w:r>
    </w:p>
    <w:p>
      <w:r>
        <w:t>La mesure litigieuse est aussi conforme au principe de célérité, l'autorité compétente ayant déjà entrepris toutes les démarches utiles pour assurer l'exécution de l’expulsion de l’intéressé et étant dans l’attente d’une réponse du SEM quant aux possibilités de la délivrance d’un laissez-passer en sa faveur, étant rappelé que seul un changement de comportement de M. A______ permettra de faire avancer les démarches en vue de la délivrance d’un tel document. Il ne peut ainsi être retenu à ce stade qu'il n'y aurait pas de perspectives sérieuses que l'expulsion puisse avoir lieu dans un délai prévisible.</w:t>
      </w:r>
    </w:p>
    <w:p>
      <w:r>
        <w:rPr>
          <w:b/>
        </w:rPr>
        <w:t>E. 12</w:t>
      </w:r>
    </w:p>
    <w:p>
      <w:r>
        <w:t>Enfin, la durée de sa détention demeure pour l'heure tout à fait conforme au principe de proportionnalité, étant rappelé que sur les dix-huit mois de détention qui peuvent être exécutés en vue d'un renvoi, il n'en a vécu jusqu'ici qu'un peu plus de six.</w:t>
      </w:r>
    </w:p>
    <w:p>
      <w:r>
        <w:rPr>
          <w:b/>
        </w:rPr>
        <w:t>E. 13</w:t>
      </w:r>
    </w:p>
    <w:p>
      <w:r>
        <w:t>Au vu de ce qui précède, la demande de prolongation de la détention administrative pour insoumission de M. A______ sera admise pour une durée de deux mois, soit jusqu'au 19 mars 2024.</w:t>
      </w:r>
    </w:p>
    <w:p>
      <w:r>
        <w:rPr>
          <w:b/>
        </w:rPr>
        <w:t>E. 14</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