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JTAPI/309/2025 vom 25. März 2025</w:t>
      </w:r>
    </w:p>
    <w:p>
      <w:r>
        <w:t>GE Cour de justice, 2025-03-25, FR</w:t>
      </w:r>
    </w:p>
    <w:p>
      <w:r>
        <w:rPr>
          <w:b/>
        </w:rPr>
        <w:t xml:space="preserve">Quelle: </w:t>
      </w:r>
      <w:r>
        <w:t>https://mcp.opencaselaw.ch/entscheid/ge_gerichte_JTAPI_309_2025</w:t>
      </w:r>
    </w:p>
    <w:p>
      <w:r>
        <w:t>FR: GE_GERICHTE JTAPI/309/2025 du 25 mars 2025</w:t>
      </w:r>
    </w:p>
    <w:p>
      <w:r>
        <w:t>IT: GE_GERICHTE JTAPI/309/2025 del 25 marzo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Dans sa lettre à l’OCPM du 16 octobre 2024, la recourante sollicite la suspension de l’instruction de la cause jusqu’à droit connu sur sa demande de rente AI. Elle fait valoir que la décision de l’AI entraînerait un impact non négligeable sur sa capacité de travail et son indépendance économique.</w:t>
      </w:r>
    </w:p>
    <w:p>
      <w:r>
        <w:t>- 6/15 - A/2013/2024 Il n’y a pas lieu de suspendre la cause en application de l’art. 14 LPA, étant donné que le renvoi de l’intéressée n’a pas été prononcé au motif qu’elle était incapable de subvenir à ses besoins par elle-même. La suspension de l’instruction de la cause ne se justifie pas non plus sous l’angle de l’art. 78 let. a LPA dès lors que l’OCPM s’y est opposé le 22 octobre 2024.</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5</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6</w:t>
      </w:r>
    </w:p>
    <w:p>
      <w:r>
        <w:t>La recourante demande que l’OCPM transmette son dossier au SEM avec un préavis favorable afin que cette autorité lui délivre une autorisation de séjour pour cas de rigueur.</w:t>
      </w:r>
    </w:p>
    <w:p>
      <w:r>
        <w:rPr>
          <w:b/>
        </w:rPr>
        <w:t>E. 7</w:t>
      </w:r>
    </w:p>
    <w:p>
      <w:r>
        <w:t>Selon l'art. 30 al. 1 let. b LEI, il est possible de déroger aux conditions d'admission d'un étranger en Suisse pour tenir compte d'un cas individuel d'une extrême gravité.</w:t>
      </w:r>
    </w:p>
    <w:p>
      <w:r>
        <w:t>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w:t>
      </w:r>
    </w:p>
    <w:p>
      <w:r>
        <w:t>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(ATA/1669/2019 du 12 novembre 2019 consid. 7b).</w:t>
      </w:r>
    </w:p>
    <w:p>
      <w:r>
        <w:t>Les dispositions dérogatoires des art. 30 LEI et 31 OASA présentent un caractère exceptionnel, de sorte que les conditions pour la reconnaissance de la situation</w:t>
      </w:r>
    </w:p>
    <w:p>
      <w:r>
        <w:t>- 7/15 - A/2013/2024 qu’ils visent doivent être appréciées de manière restrictive et ne confèrent pas un droit à l’obtention d’une autorisation de séjour (ATF 138 II 393 consid. 3.1).</w:t>
      </w:r>
    </w:p>
    <w:p>
      <w:r>
        <w:rPr>
          <w:b/>
        </w:rPr>
        <w:t>E. 8</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F-5341/2020 du 7 février 2022 consid. 6.7).</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rPr>
          <w:b/>
        </w:rPr>
        <w:t>E. 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F-4206/2021 du 24 novembre 2022 consid. 5.4).</w:t>
      </w:r>
    </w:p>
    <w:p>
      <w:r>
        <w:rPr>
          <w:b/>
        </w:rPr>
        <w:t>E. 10</w:t>
      </w:r>
    </w:p>
    <w:p>
      <w:r>
        <w:t>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Par durée assez longue, on entend une période de sept à huit ans (arrêt du Tribunal administratif fédéral C-7330/2010 du 19 mars 2012). Le Tribunal fédéral a en outre considéré</w:t>
      </w:r>
    </w:p>
    <w:p>
      <w:r>
        <w:t>- 8/15 - A/2013/2024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w:t>
      </w:r>
    </w:p>
    <w:p>
      <w:r>
        <w:rPr>
          <w:b/>
        </w:rPr>
        <w:t>E. 11</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w:t>
      </w:r>
    </w:p>
    <w:p>
      <w:r>
        <w:t>L’intégration socioculturelle n’est donc en principe pas susceptible de justifier à elle seule l’octroi d’une autorisation de séjour pour cas de rigueur. Néanmoins, cet aspect peut revêtir une importance dans la pesée générale des intérêts (arrêt du Tribunal administratif fédéral C-541/2015 du 5 octobre 2015 consid. 7.3 et 7.6), les lettres de soutien, la participation à des associations locales ou l’engagement bénévole pouvant représenter des éléments en faveur d’une intégration réussie, voire remarquable (arrêt du Tribunal administratif fédéral C-74672014 du 19 février 2016 consid. 6.2.3 in fine).</w:t>
      </w:r>
    </w:p>
    <w:p>
      <w:r>
        <w:rPr>
          <w:b/>
        </w:rPr>
        <w:t>E. 12</w:t>
      </w:r>
    </w:p>
    <w:p>
      <w:r>
        <w:t>Selon la jurisprudence, un étranger peut, selon les circonstances, se prévaloir du droit au respect de sa vie familiale au sens de l’art. 8 par. 1 de la Convention de sauvegarde des droits de l’homme et des libertés fondamentales du 4 novembre 1950 (CEDH - RS 0.101)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Cependant, une relation hors famille nucléaire peut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144 II 1 consid. 6.1).</w:t>
      </w:r>
    </w:p>
    <w:p>
      <w:r>
        <w:t>- 9/15 - A/2013/2024</w:t>
      </w:r>
    </w:p>
    <w:p>
      <w:r>
        <w:rPr>
          <w:b/>
        </w:rPr>
        <w:t>E. 13</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w:t>
      </w:r>
    </w:p>
    <w:p>
      <w:r>
        <w:rPr>
          <w:b/>
        </w:rPr>
        <w:t>E. 14</w:t>
      </w:r>
    </w:p>
    <w:p>
      <w:r>
        <w:t>Selon la jurisprudence, 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En outre, l’étranger qui entre pour la première fois en Suisse en souffrant déjà d’une sérieuse atteinte à la santé ne saurait se fonder uniquement sur ce motif médical pour y poursuivre son séjour (arrêt du Tribunal fédéral 2C_861/2015 du 11 février 2016 consid. 4.2).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(ATF 128 II 200 consid. 5.1 à 5.4). Ainsi, en l’absence de liens particulièrement intenses avec la Suisse, le facteur médical ne saurait constituer un élément suffisant pour justifier la reconnaissance d’un cas personnel d’extrême gravité.</w:t>
      </w:r>
    </w:p>
    <w:p>
      <w:r>
        <w:t>Les motifs médicaux constituent avant tout un obstacle à l’exécution du renvoi au sens de l’art. 83 al. 4 LEI et un individu ne pouvant se prévaloir que d’arguments</w:t>
      </w:r>
    </w:p>
    <w:p>
      <w:r>
        <w:t>- 10/15 - A/2013/2024 d’ordre médical ne se distingue pas de ses compatriotes restés dans son pays d’origine et souffrant de la même maladie (arrêt du Tribunal administratif fédéral F-7044/2014 du 19 juillet 2016 consid. 5.5.1). Hormis des cas d’extrême gravité, l’état de santé ne peut fonder un droit à une autorisation de séjour, ni sous l’aspect de l’art. 3 CEDH, ni sous celui de l’art. 8 CEDH (arrêt du Tribunal fédéral 2C_891/2016 du 27 septembre 2016 consid. 3.3 et la référence citée).</w:t>
      </w:r>
    </w:p>
    <w:p>
      <w:r>
        <w:rPr>
          <w:b/>
        </w:rPr>
        <w:t>E. 15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16</w:t>
      </w:r>
    </w:p>
    <w:p>
      <w:r>
        <w:t>En l’espèce, la recourante a immigré en Suisse, selon ses propres déclarations, en novembre 2017. Elle y réside dès lors depuis quelque sept ans et demi, ce qui représente une durée de présence moyennement longue. Toutefois, celle-ci s’est toujours déroulée dans l’illégalité ou sous la tolérance de l’OCPM. Le tribunal considère qu’elle a toujours travaillé de sorte à subvenir à ses besoins. En effet, elle ne fait l’objet d’aucune poursuite pour dettes et n’a jamais eu recours à l’aide sociale. Cela étant, sur le plan de son intégration, elle ne prétend pas, ni ne démontre, qu’elle aurait noué avec la Suisse des liens à ce point profonds qu’il ne puisse être exigé d’elle qu’elle mette un terme à son séjour sur le territoire helvétique. Née en 1986, la recourante est ainsi arrivée à Genève à l’âge de 31 ans. C’est dire qu’elle a passé dans son pays d’origine son enfance et le début de sa vie d’adulte, mais surtout toute son adolescence, laquelle constitue la période de la vie décisive pour la formation de la personnalité. Par ailleurs, ainsi qu’elle l’a déclaré à la police, ses parents, ses quatre frères et ses neveux résident en Bolivie. La recourante ne peut obtenir, sur la base de l’art. 8 CEDH, un droit de séjour en Suisse. En effet, elle y réside clandestinement depuis moins de dix ans sans y être intégrée. En outre, elle ne se prévaut d’aucun lien avec une personne disposant d’un droit de présence assuré en Suisse. Enfin, la recourante se prévaut d’ennuis de santé. Or, ainsi que cela découle de la jurisprudence rappelée plus haut, une problématique médicale ne saurait en principe justifier à elle seule l'octroi d'un permis de séjour pour cas de rigueur ; elle constitue cas échéant un obstacle à l'exécution du renvoi, ce qu'il conviendra d'examiner infra sous l'angle des dispositions légales pertinentes.</w:t>
      </w:r>
    </w:p>
    <w:p>
      <w:r>
        <w:rPr>
          <w:b/>
        </w:rPr>
        <w:t>E. 17</w:t>
      </w:r>
    </w:p>
    <w:p>
      <w:r>
        <w:t>En conclusion, l’appréciation que l’OCPM a faite de la situation de la recourante sous l’angle des art. 30 al. 1 let. b LEI et 31 OASA ne prête pas le flanc à la critique. Dans ces conditions, le tribunal, qui doit faire preuve de retenue et respecter la latitude de jugement conférée à l’autorité intimée, ne saurait en corriger le résultat</w:t>
      </w:r>
    </w:p>
    <w:p>
      <w:r>
        <w:t>- 11/15 - A/2013/2024 en fonction d’une autre conception, sauf à statuer en opportunité, ce que la loi lui interdit de faire.</w:t>
      </w:r>
    </w:p>
    <w:p>
      <w:r>
        <w:rPr>
          <w:b/>
        </w:rPr>
        <w:t>E. 18</w:t>
      </w:r>
    </w:p>
    <w:p>
      <w:r>
        <w:t>La recourante sollicite son admission provisoire, se prévalant de problèmes de santé.</w:t>
      </w:r>
    </w:p>
    <w:p>
      <w:r>
        <w:rPr>
          <w:b/>
        </w:rPr>
        <w:t>E. 19</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w:t>
      </w:r>
    </w:p>
    <w:p>
      <w:r>
        <w:t>Le renvoi d'un étranger ne peut toutefois être ordonné que si l'exécution de celui-ci est possible, licite ou peut être raisonnablement exigée (art. 83 al. 1 LEI). L’exécution n’est pas possible lorsque l’étranger ne peut pas quitter la Suisse pour son État d’origine, son État de provenance ou un État tiers, ni être renvoyé dans un de ces États (art. 83 al. 2 LEI). L’exécution n’est pas licite lorsque le renvoi de l’étranger dans son État d’origine, dans son État de provenance ou dans un État tiers est contraire aux engagements de la Suisse relevant du droit international (art. 83 al. 3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20</w:t>
      </w:r>
    </w:p>
    <w:p>
      <w:r>
        <w:t>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dégradait très rapidement au point de conduire d'une manière certaine à la mise en danger concrète de sa vie ou à une atteinte sérieuse, durable, et notablement plus grave de son intégrité physique (ATA/91/2022 du 1er février 2022 consid. 4).</w:t>
      </w:r>
    </w:p>
    <w:p>
      <w:r>
        <w:t>- 12/15 - A/2013/2024</w:t>
      </w:r>
    </w:p>
    <w:p>
      <w:r>
        <w:rPr>
          <w:b/>
        </w:rPr>
        <w:t>E. 21</w:t>
      </w:r>
    </w:p>
    <w:p>
      <w:r>
        <w:t>Selon la jurisprudence (ATA/1359/2024 du 19 novembre 2024 consid. 4.4 et les réf.), le renvoi d'un étranger malade vers un pays où les moyens de traiter sa maladie sont inférieurs à ceux disponibles dans l'État contractant reste compatible avec l'art. 3 CEDH, sauf dans des cas très exceptionnels, en présence de considérations humanitaires impérieuses. Dans un arrêt du 13 décembre 2016 (ACEDH Paposhvili c. Belgique, req. n° 41738/10, § 173 ss, not. 183), la Grande Chambre de la Cour européenne des droits de l’homme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w:t>
      </w:r>
    </w:p>
    <w:p>
      <w:r>
        <w:rPr>
          <w:b/>
        </w:rPr>
        <w:t>E. 22</w:t>
      </w:r>
    </w:p>
    <w:p>
      <w:r>
        <w:t>Dans un arrêt rendu le 20 décembre 2022 (ATA/1289/2022 consid. 7b), la chambre administrative de la Cour de justice (ci-après : chambre administrative) a retenu que la Bolivie dispose de structures médicales permettant le traitement des troubles physiques et psychiques, même si celles-ci ne correspondent pas aux standards helvétiques et a confirmé le renvoi d’une famille dont la mère souffrait de dépression. Dans cet arrêt, la chambre administrative a rappelé qu’il ressort du rapport du 6 octobre 2021 du Comité des droits économiques, sociaux et culturels, qui a examiné le rapport périodique de la Bolivie sur la mise en œuvre de dispositions du Pacte international relatif aux droits économiques, sociaux et culturels, qu’un système de santé universel a été créé pour les personnes qui n'avaient pas d'assurance maladie ou sociale (https://www.ungeneva.org/fr/news- media/meeting-summary/2021/10/dialogue-bolivia-committee-economic-social- and-cultural-rights ; arrêt du Tribunal administratif fédéral C-4390/2012 du 28 février 2013).</w:t>
      </w:r>
    </w:p>
    <w:p>
      <w:r>
        <w:rPr>
          <w:b/>
        </w:rPr>
        <w:t>E. 23</w:t>
      </w:r>
    </w:p>
    <w:p>
      <w:r>
        <w:t>En l’espèce, la recourante se prévaut de trois rapports médicaux, à savoir :  un rapport rédigé le 25 mars 2024 par les Drs D______, E______ et F______, qui constate notamment l’existence d’un probable risque de récidive d’endométriose.  un rapport établi le 29 juillet 2024 par la Dresse G______, lequel rappelle que la recourante a été opérée le 10 juillet 2023 et a présenté une récidive en automne de la même année. Elle souffre de douleurs chroniques dans un contexte d’endométriose profonde sévère et récidivante et a rencontré un épisode dépressif moyen sans symptômes psychotiques. À titre de médication, elle prend</w:t>
      </w:r>
    </w:p>
    <w:p>
      <w:r>
        <w:t>- 13/15 - A/2013/2024 des antidouleurs (ibuprofène, métamizole et paracétamol), ainsi que de l’ésoméprazol et occasionnellement de la quétiapine. Elle suit également un traitement ostéopathique pelvien depuis 2022. Le traitement à entreprendre consiste à la mise en place d’un stérilet hormonal pour tenter de diminuer les douleurs. Sans ce traitement, ses douleurs persisteront et l’endométriose progressera. Avec le traitement, les douleurs et la thymie s’amélioreront. Enfin, rien n’irait à l’encontre d’un traitement médical en Bolivie.  Un rapport établi le 11 décembre 2024 par le Dr H______ à teneur duquel Mme A______ s’est plainte de douleurs lors du contrôle du 25 novembre précédent. Il a dû enlever son stérilet. L’endométriose dont souffre la recourante et sa nécessité de suivre un traitement médicamenteux en raison de cette affection ne sont pas contestées. Au contraire, elles sont établies par certificats médicaux. Cependant, un gynécologue contacté par l’Ambassade de Suisse à I______ (Bolivie) a confirmé qu’il est possible de suivre et de traiter Mme A______ de manière régulière en Bolivie. Il convient en outre de relever que les certificats susmentionnés ne précisent pas qu’en cas de renvoi de l’intéressée dans son pays d’origine, son état de santé serait susceptible de se dégrader très rapidement au point de conduire d'une manière certaine à la mise en danger concrète de sa vie ou à une atteinte sérieuse, durable, et notablement plus grave de son intégrité physique si elle ne devait pas obtenir dans les délais souhaités un rendez-vous médical. Le rapport de la Dresse G______ mentionne au contraire qu’il n’existe aucune contre-indication pour un traitement médical en Bolivie. Il résulte de ce qui précède que le renvoi de la recourante doit être qualifié d’exigible. Par ailleurs, dès lors que les problèmes médicaux dont souffre la recourante peuvent être traités dans son pays d’origine, son renvoi ne viole pas non plus l’art. 3 CEDH. Le simple fait qu’en Bolivie, elle bénéficierait de soins de qualité inférieure à celle qu’elle pourrait obtenir en Suisse, n’en résulte pas une violation de cette disposition conventionnelle. Le renvoi de l’intéressée dans son pays d’origine se révèle par conséquent licite. Au vu de ce qui précède, il n’existe aucun obstacle à l’exécution du renvoi de la recourante.</w:t>
      </w:r>
    </w:p>
    <w:p>
      <w:r>
        <w:rPr>
          <w:b/>
        </w:rPr>
        <w:t>E. 24</w:t>
      </w:r>
    </w:p>
    <w:p>
      <w:r>
        <w:t>Ne reposant sur aucun motif valable, le recours doit être rejeté.</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26</w:t>
      </w:r>
    </w:p>
    <w:p>
      <w:r>
        <w:t>Vu l’issue du litige, aucune indemnité de procédure ne sera allouée (art. 87 al. 2 LPA).</w:t>
      </w:r>
    </w:p>
    <w:p>
      <w:r>
        <w:t>- 14/15 - A/2013/2024</w:t>
      </w:r>
    </w:p>
    <w:p>
      <w:r>
        <w:rPr>
          <w:b/>
        </w:rPr>
        <w:t>E. 27</w:t>
      </w:r>
    </w:p>
    <w:p>
      <w:r>
        <w:t>En vertu des art. 89 al. 2 et 111 al. 2 de la loi sur le Tribunal fédéral du 17 juin 2005 (LTF - RS 173.110), le présent jugement sera communiqué au secrétariat d'État aux migrations.</w:t>
      </w:r>
    </w:p>
    <w:p>
      <w:r>
        <w:t>- 15/15 - A/2013/2024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