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JTAPI/303/2023 vom 7. Februar 2020</w:t>
      </w:r>
    </w:p>
    <w:p>
      <w:r>
        <w:t>GE Cour de justice, 2020-02-07, FR</w:t>
      </w:r>
    </w:p>
    <w:p>
      <w:r>
        <w:rPr>
          <w:b/>
        </w:rPr>
        <w:t xml:space="preserve">Quelle: </w:t>
      </w:r>
      <w:r>
        <w:t>https://mcp.opencaselaw.ch/entscheid/ge_gerichte_JTAPI_303_2023</w:t>
      </w:r>
    </w:p>
    <w:p>
      <w:r>
        <w:t>FR: GE_GERICHTE JTAPI/303/2023 du 7 février 2020</w:t>
      </w:r>
    </w:p>
    <w:p>
      <w:r>
        <w:t>IT: GE_GERICHTE JTAPI/303/2023 del 7 febbraio 2020</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- 9/14 - A/636/2022</w:t>
      </w:r>
    </w:p>
    <w:p>
      <w:r>
        <w:rPr>
          <w:b/>
        </w:rPr>
        <w:t>E. 3</w:t>
      </w:r>
    </w:p>
    <w:p>
      <w:r>
        <w:t>Il convient de rappeler à titre liminaire que le DI a pris trois arrêtés successifs, entrés en force, réglementant temporairement le trafic, notamment à la rue B______ et à la place H______. Les deux premiers, rendus respectivement les 7 février 2020 et 7 juin 2021, étaient valables une année. Le troisième, qui a été rendu le 14 avril 2022, pour la période du 18 juillet 2022 au 31 décembre 2023, reprend, sur le fond, l’arrêté du 7 juin 2021. Selon le chiffre 23 de l’arrêté du 14 avril 2022, sur la place De-Grenus, au niveau de l'entrée du parking de R______, les véhicules ont l'interdiction de s'engager sur la place H______, en direction de la rue des E______, excepté pour le parking R______, les taxis, le transport des personnes à mobilité réduite et les ayants droit (let. a). Une signalisation interdisant la circulation aux voitures automobiles et aux motocycles, munie d'une plaque complémentaire « Parking R______, taxis, transports handicapés et ayants droit exceptés », indique cette prescription (let. b). Les ayants droit sont : les services communaux et la logistique S______ (let. c). Cet arrêté, à l’instar des deux précédents, est entré en force, si bien que l’interdiction de circuler dans la zone précitée et la liste des ayants droit ont acquis la force de la chose décidée et ne peuvent être remises en cause dans le cadre du présent recours. Dans cette mesure, seule la question de la conformité de la barrière au droit des constructions sera examinée.</w:t>
      </w:r>
    </w:p>
    <w:p>
      <w:r>
        <w:rPr>
          <w:b/>
        </w:rPr>
        <w:t>E. 4</w:t>
      </w:r>
    </w:p>
    <w:p>
      <w:r>
        <w:t>La recourante soutient que l’installation de la barrière litigieuse serait source d’inconvénients majeurs.</w:t>
      </w:r>
    </w:p>
    <w:p>
      <w:r>
        <w:rPr>
          <w:b/>
        </w:rPr>
        <w:t>E. 5</w:t>
      </w:r>
    </w:p>
    <w:p>
      <w:r>
        <w:t>Selon l'art. 1 al. 1 let. a LCI, sur tout le territoire du canton nul ne peut, sans y avoir été autorisé, élever en tout ou partie une construction ou une installation, notamment un bâtiment locatif, industriel ou agricole, une villa, un garage, un hangar, un poulailler, un mur, une clôture ou un portail. Dès que les conditions légales sont réunies, le département est tenu de délivrer l'autorisation de construire (art. 1 al. 6 LCI).</w:t>
      </w:r>
    </w:p>
    <w:p>
      <w:r>
        <w:rPr>
          <w:b/>
        </w:rPr>
        <w:t>E. 6</w:t>
      </w:r>
    </w:p>
    <w:p>
      <w:r>
        <w:t>À teneur de l'art. 3 al. 7 let. c LCI, le département peut traiter par une procédure accélérée les demandes d'autorisation relatives à des travaux soumis à l'art. 1 pour des constructions nouvelles de peu d'importance ou provisoires.</w:t>
      </w:r>
    </w:p>
    <w:p>
      <w:r>
        <w:rPr>
          <w:b/>
        </w:rPr>
        <w:t>E. 7</w:t>
      </w:r>
    </w:p>
    <w:p>
      <w:r>
        <w:t>En matière de procédure accélérée, sauf exception, les préavis des commissions officielles sont exprimés, sur délégation, par les services spécialisés concernés. Si nécessaire, les exceptions sont définies par lesdites commissions (art. 7 al. 8 LCI).</w:t>
      </w:r>
    </w:p>
    <w:p>
      <w:r>
        <w:rPr>
          <w:b/>
        </w:rPr>
        <w:t>E. 8</w:t>
      </w:r>
    </w:p>
    <w:p>
      <w:r>
        <w:t>Dans le système de la LCI, les avis ou préavis des communes, des départements et organismes intéressés ne lient pas les autorités (art. 3 al. 3 LCI). La délivrance des autorisations de construire demeure de la compétence exclusive du DT, à qui il appartient de statuer en tenant compte de tous les intérêts en présence. Les préavis n'ont qu'un caractère consultatif, sauf dispositions contraires et expresses de la</w:t>
      </w:r>
    </w:p>
    <w:p>
      <w:r>
        <w:t>- 10/14 - A/636/2022 loi ; le DT reste ainsi libre de s'en écarter pour des motifs pertinents et en raison d'un intérêt public supérieur (cf. not. ATA/155/2021 du 9 février 2021 consid. 10e ; ATA/1311/2020 du 15 décembre 2020 consid. 7b ; ATA/639/2020 du 30 juin 2020 consid. 4b ; ATA/259/2020 du 3 mars 2020 consid. 4b). Il lui appartient d'apprécier globalement les motifs des préavis rendus avant de rendre sa décision (cf. not. ATA/724/2020 du 4 août 2020 consid. 3b et 3f ; ATA/498/2020 du 19 mai 2020 consid. 4b).</w:t>
      </w:r>
    </w:p>
    <w:p>
      <w:r>
        <w:rPr>
          <w:b/>
        </w:rPr>
        <w:t>E. 9</w:t>
      </w:r>
    </w:p>
    <w:p>
      <w:r>
        <w:t>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(ATA/278/2022 du 15 mars 2022 consid. 2d ; ATA/896/2021 du 31 août 2021 consid. 4d ; ATA/155/2021 du 9 février 2021 consid. 7c et 10e).</w:t>
      </w:r>
    </w:p>
    <w:p>
      <w:r>
        <w:rPr>
          <w:b/>
        </w:rPr>
        <w:t>E. 10</w:t>
      </w:r>
    </w:p>
    <w:p>
      <w:r>
        <w:t>L’art. 14 al. 1 LCI prévoit que le département peut refuser les autorisations prévues à l’art. 1 lorsqu’une construction ou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w:t>
      </w:r>
    </w:p>
    <w:p>
      <w:r>
        <w:rPr>
          <w:b/>
        </w:rPr>
        <w:t>E. 11</w:t>
      </w:r>
    </w:p>
    <w:p>
      <w:r>
        <w:t>Cette disposition appartient aux normes de protection qui sont destinées à sauvegarder les particularités de chaque zone, en prohibant les inconvénients incompatibles avec le caractère d'une zone déterminée (ATA/1529/2019 du 15 octobre 2019 consid. 8 et les références citées). Elle n'a toutefois pas pour but d'empêcher toute construction dans une zone à bâtir qui aurait des effets sur la situation ou le bien-être des voisins (arrêt du Tribunal fédéral 1C_55/2016 du 3 mars 2016 consid. 3.5).</w:t>
      </w:r>
    </w:p>
    <w:p>
      <w:r>
        <w:rPr>
          <w:b/>
        </w:rPr>
        <w:t>E. 12</w:t>
      </w:r>
    </w:p>
    <w:p>
      <w:r>
        <w:t>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w:t>
      </w:r>
    </w:p>
    <w:p>
      <w:r>
        <w:t>- 11/14 - A/636/2022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(ATA/874/2018 du 28 août 2018 consid. 7a ; ATA/165/2018 du 20 février 2018 consid. 4b).</w:t>
      </w:r>
    </w:p>
    <w:p>
      <w:r>
        <w:rPr>
          <w:b/>
        </w:rPr>
        <w:t>E. 13</w:t>
      </w:r>
    </w:p>
    <w:p>
      <w:r>
        <w:t>En l’espèce, avant de délivrer l’APA, le département a consulté plusieurs services spécialisés, dont l’office de l’urbanisme, l’OCT et la police du feu, qui ont tous préavisé favorablement le projet, parfois sous conditions. Il convient également de rappeler que, compte tenu de l’interdiction de circuler en force et qui déploie donc déjà ses effets, seuls les ayants droit stipulés dans l’arrêté du 14 avril 2022 sont autorisés à circuler à la rue B______ et place H______. Les livreurs qui approvisionnent la recourante n’ont pas cette qualité, de sorte qu’ils ont d’ores et déjà l’interdiction d’effectuer leurs livraisons en stationnant devant son commerce. L’installation de la barrière litigieuse n’aura ainsi pour fonction que de matérialiser une interdiction de circuler qui est déjà en vigueur (mais qui - en l’état - n’est aucunement respectée par les usagers motorisés) et qui s'adresse notamment aux personnes que la recourante, hors de propos dans la présente procédure, souhaiterait soustraire à cette interdiction. Dans cette mesure, les inconvénients graves dont se plaint la recourante ne peuvent être considérés comme tels, puisqu'ils représentent au contraire le moyen de faire respecter le droit en vigueur (c'est-à-dire l'arrêté de circulation du 14 avril 2022). Lesdits inconvénients (ou du moins considérés comme tels par la recourante) relèvent en réalité de cet arrêté, et non pas des moyens matériels déployés par l'autorité afin de faire respecter ce dernier. Le tribunal relèvera à toutes fins utiles que le département a suivi les avis des autorités consultés pour rendre l’APA litigieuse (notamment le préavis de l'OCT et qu'il n'existe pas d'éléments permettant de les mettre en cause. Il apparaît ainsi qu’aucun élément ne permet de retenir que le projet serait source d'inconvénients graves au sens de l'art. 14 LCI. Ce grief sera dès lors rejeté. Au surplus, la question des tensions et des incivilités engendrées par l’interdiction de circuler déjà en vigueur est sans lien avec l’APA litigieuse. Il en va de même des éventuels abus sur les places de livraisons qui relèvent des règles applicables en matière de stationnement.</w:t>
      </w:r>
    </w:p>
    <w:p>
      <w:r>
        <w:rPr>
          <w:b/>
        </w:rPr>
        <w:t>E. 14</w:t>
      </w:r>
    </w:p>
    <w:p>
      <w:r>
        <w:t>La recourante se plaint également d’une atteinte à sa liberté économique.</w:t>
      </w:r>
    </w:p>
    <w:p>
      <w:r>
        <w:rPr>
          <w:b/>
        </w:rPr>
        <w:t>E. 15</w:t>
      </w:r>
    </w:p>
    <w:p>
      <w:r>
        <w:t>Telle qu'elle est garantie par l'art. 27 al. 1 Cst., la liberté économique comprend notamment le libre choix de la profession, le libre accès à une activité économique</w:t>
      </w:r>
    </w:p>
    <w:p>
      <w:r>
        <w:t>- 12/14 - A/636/2022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 Michel HOTTELIER, Droit constitutionnel suisse, vol. II, 3ème éd., 2013, n. 952). Tant les personnes physiques que les personnes morales sont titulaires de la liberté économique ainsi définie (ATF 131 I 223 consid. 4.1 ; Message précité, FF 1997 I 1 ss, p. 179).</w:t>
      </w:r>
    </w:p>
    <w:p>
      <w:r>
        <w:rPr>
          <w:b/>
        </w:rPr>
        <w:t>E. 16</w:t>
      </w:r>
    </w:p>
    <w:p>
      <w:r>
        <w:t>Comme tout droit fondamental, la liberté économique peut être restreinte aux conditions de l’art. 36 Cst. (ATF 131 I 223 consid. 4.1 et 4.3 ; ATA/1338/2021 du 7 décembre 2021 consid. 5a). Selon cette disposition,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(art. 36 al. 3 Cst.),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146 I 70 consid. 6.4; 143 I 403 consid. 5.6.3) (arrêt du Tribunal fédéral 1C_474/2018 du 11 mai 2021 consid. 7.1.2).</w:t>
      </w:r>
    </w:p>
    <w:p>
      <w:r>
        <w:rPr>
          <w:b/>
        </w:rPr>
        <w:t>E. 17</w:t>
      </w:r>
    </w:p>
    <w:p>
      <w:r>
        <w:t>Dans un arrêt du 11 mai 2021 (1C_474/2018), le Tribunal fédéral a examiné le recours déposé par le propriétaire de deux parcelles sises au débouché d’une rue menant sur une place centrale. Sur l’une des parcelles se trouvait un immeuble dans lequel le recourant exploitait une pharmacie. Invoquant notamment les art. 26 et 27 Cst., ce dernier s’opposait à la création d'une zone piétonne notamment dans la rue concernée. Considérant les circonstances du cas d'espèce - notamment le fait que la rue en question n'offrait aucune possibilité de se parquer, que diverses places de stationnement se trouvaient à proximité immédiate et que les livraisons à la pharmacie pouvaient très bien s'opérer depuis d'autres accès (distante d'environ 15 mètres) - le Tribunal fédéral a retenu que l’accès par la rue en question n’apparaissait pas indispensable. À cela s’ajoutait que la mesure reposait sur divers intérêts publics (notamment permettre à des rez-de-chaussée de se développer (échoppes, cafés, etc.), de valoriser le milieu bâti au centre-ville,</w:t>
      </w:r>
    </w:p>
    <w:p>
      <w:r>
        <w:t>- 13/14 - A/636/2022 d'augmenter l'attractivité du logement dans ce lieu et à proximité des transports, de préserver les riverains et limiter les nuisances dues à la circulation) qui devaient prévaloir sur les intérêts privés allégués par le recourant.</w:t>
      </w:r>
    </w:p>
    <w:p>
      <w:r>
        <w:rPr>
          <w:b/>
        </w:rPr>
        <w:t>E. 18</w:t>
      </w:r>
    </w:p>
    <w:p>
      <w:r>
        <w:t>En l’espèce, dans la mesure où il conviendrait de rapprocher la présente espèce de l'arrêt susmentionné du Tribunal fédéral, il s'agirait en tous les cas de garder à l'esprit, comme déjà dit, que la question de la restriction à la liberté économique découle ici de l'arrêté de circulation du 14 avril 2022, puisque c'est cet acte qui interdit originellement aux véhicules de livraison d'accéder à la place H______, tandis que la barrière litigieuse et autres aménagements routiers prévus par l'autorisation querellée ne font qu'empêcher matériellement la possibilité d'enfreindre ledite arrêté. Il faut donc bien admettre, sauf à soutenir l'hypothèse selon laquelle la recourante serait au-dessus de la loi, que la restriction dont elle se plaint existe indépendamment de l'autorisation de construire litigieuse. Il convient également de relever que l’installation de la barrière litigieuse apparaît comme une ultima ratio, les mesures prises précédemment pour faire respecter l’interdiction de circuler, comme la présence d’agents régulant le trafic, n’ayant pas permis d’atteindre le but visé. Le grief de violation de l'art. 27 Cst. sera également rejeté.</w:t>
      </w:r>
    </w:p>
    <w:p>
      <w:r>
        <w:rPr>
          <w:b/>
        </w:rPr>
        <w:t>E. 19</w:t>
      </w:r>
    </w:p>
    <w:p>
      <w:r>
        <w:t>Au vu de ce qui précède, le recours sera rejeté et la décision contestée sera confirmée.</w:t>
      </w:r>
    </w:p>
    <w:p>
      <w:r>
        <w:rPr>
          <w:b/>
        </w:rPr>
        <w:t>E. 20</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de même montant versée à la suite du dépôt du recours. Vu l’issue du litige, aucune indemnité de procédure ne sera allouée (art. 87 al. 2 LPA).</w:t>
      </w:r>
    </w:p>
    <w:p>
      <w:r>
        <w:t>- 14/14 - A/636/2022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