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JTAPI/301/2023 vom 16. März 2023</w:t>
      </w:r>
    </w:p>
    <w:p>
      <w:r>
        <w:t>GE Cour de justice, 2023-03-16, FR</w:t>
      </w:r>
    </w:p>
    <w:p>
      <w:r>
        <w:rPr>
          <w:b/>
        </w:rPr>
        <w:t xml:space="preserve">Quelle: </w:t>
      </w:r>
      <w:r>
        <w:t>https://mcp.opencaselaw.ch/entscheid/ge_gerichte_JTAPI_301_2023</w:t>
      </w:r>
    </w:p>
    <w:p>
      <w:r>
        <w:t>FR: GE_GERICHTE JTAPI/301/2023 du 16 mars 2023</w:t>
      </w:r>
    </w:p>
    <w:p>
      <w:r>
        <w:t>IT: GE_GERICHTE JTAPI/301/2023 del 16 marzo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t>- 7/14 - A/3949/2021</w:t>
      </w:r>
    </w:p>
    <w:p>
      <w:r>
        <w:rPr>
          <w:b/>
        </w:rPr>
        <w:t>E. 2</w:t>
      </w:r>
    </w:p>
    <w:p>
      <w:r>
        <w:t>Interjeté en temps utile et dans les formes prescrites devant la juridiction compétente par un voisin de la parcelle devant accueillir le projet litigieux (ATF 140 II 214 consid. 2.1 ; 139 II 499 consid. 2.2 ; arrêts du Tribunal fédéral 1C_593/2019 du 19 août 2020 consid. 1.2 ; 1C_155 du 11 décembre 2019 consid. 1 ; 1C_56/2019 du 14 octobre 2019 consid. 1 ; 1C_206/2019 du 6 août 2019 consid. 3.1 ; 1C_27/2018 du 6 avril 2018 consid. 1.1), le recours est recevable (art. 60 et 62 à 65 LPA).</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Les arguments formulés par les parties à l'appui de leurs conclusions respectives seront repris et discutés dans la mesure utile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 cf. aussi ATF 140 III 86 consid. 2 ; 138 II 331 consid. 1.3 ; 137 II 313 consid. 1.4).</w:t>
      </w:r>
    </w:p>
    <w:p>
      <w:r>
        <w:rPr>
          <w:b/>
        </w:rPr>
        <w:t>E. 5</w:t>
      </w:r>
    </w:p>
    <w:p>
      <w:r>
        <w:t>La comparution personnelle des parties, la tenue d’un transport sur place et la réalisation d’une expertise – s’agissant notamment de l’impact potentiel sur la parcelle du recourant du déplacement de plusieurs centaines de m3 de terre sur la parcelle n° 1______ - sont sollicitées.</w:t>
      </w:r>
    </w:p>
    <w:p>
      <w:r>
        <w:rPr>
          <w:b/>
        </w:rPr>
        <w:t>E. 6</w:t>
      </w:r>
    </w:p>
    <w:p>
      <w:r>
        <w:t>Or, en l’occurrence, ces mesures d'instruction ne s'avèrent pas nécessaires, vu l'issue du litige.</w:t>
      </w:r>
    </w:p>
    <w:p>
      <w:r>
        <w:rPr>
          <w:b/>
        </w:rPr>
        <w:t>E. 7</w:t>
      </w:r>
    </w:p>
    <w:p>
      <w:r>
        <w:t>Le recourant se prévaut notamment d’une violation de l’art. 3 al. 3 RCI.</w:t>
      </w:r>
    </w:p>
    <w:p>
      <w:r>
        <w:t>- 8/14 - A/3949/2021</w:t>
      </w:r>
    </w:p>
    <w:p>
      <w:r>
        <w:rPr>
          <w:b/>
        </w:rPr>
        <w:t>E. 8</w:t>
      </w:r>
    </w:p>
    <w:p>
      <w:r>
        <w:t>La disposition du RCI, dont la violation est invoquée par le recourant, concerne la définition des CDPI, lesquelles ne sont pas prises en compte dans le calcul du rapport des surfaces en zone 5 (art. 59 al. 7 LCI).</w:t>
      </w:r>
    </w:p>
    <w:p>
      <w:r>
        <w:rPr>
          <w:b/>
        </w:rPr>
        <w:t>E. 9</w:t>
      </w:r>
    </w:p>
    <w:p>
      <w:r>
        <w:t>Sont réputées CDPI, à la condition qu’elles ne servent ni à l’habitation, ni à l’exercice d’une activité commerciale, industrielle ou artisanale, les constructions dont la surface n’excède pas 50 m² et qui s’inscrivent dans un gabarit limité. Dans le cadre d’un projet de construction en ordre contigu ou sous forme d’habitat groupé, et afin d’améliorer l’insertion dans le site et pour autant qu’il n’en résulte pas de gêne pour le voisinage, le département peut autoriser, après consultation de la CA, des CDPI groupées d’une surface de plus de 50 m2 au total. Dans tous les cas, la surface totale des constructions de peu d’importance ne doit pas excéder 8 % de la surface de la parcelle et au maximum 100 m² (art. 3 al. 3 RCI ; ATA/318/2017 du 21 mars 2017 ; ATA/284/2016 du 5 avril 2016 ; ATA/1345/2015 du 15 décembre 2015 ; ATA/592/2014 du 29 juillet 2014 ; ATA/548/2014 du 17 juillet 2014), ces seuils constituant des conditions cumulatives (cf. arrêt du Tribunal fédéral 1C_641/2012 du 30 avril 2013 consid. 3.3).</w:t>
      </w:r>
    </w:p>
    <w:p>
      <w:r>
        <w:rPr>
          <w:b/>
        </w:rPr>
        <w:t>E. 10</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w:t>
      </w:r>
    </w:p>
    <w:p>
      <w:r>
        <w:rPr>
          <w:b/>
        </w:rPr>
        <w:t>E. 11</w:t>
      </w:r>
    </w:p>
    <w:p>
      <w:r>
        <w:t>Les CDPI font l’objet d’une directive du département du 3 février 2014, modifiée d’abord le 10 mars 2017 sous le numéro 024-v5, puis le 9 mars 2021 sous le numéro 024-v7 (ci-après : la directive CDPI). Cette dernière version comporte quelques ajouts issus de la jurisprudence (ATA/805/2020 du 25 août 2020 ; ATA/1300/2019 du 27 août 2019 consid. 4e et les arrêts cités : pour le calcul relatif aux balcons/terrasses), mais ne change pas le contenu de la version antérieure. Dans sa teneur actuelle, en cas de projet de plusieurs villas sur une seule parcelle, la directive sur les CDPI indique que la jurisprudence récente (ATA/805/2020) précise clairement que, quel que soit le projet et la grandeur de la parcelle actuelle (celle formellement inscrite au registre foncier) la surface totale maximum des CDPI ne peut pas dépasser 100 m2. Il peut être tenu compte d'un projet de division parcellaire fourni dans le cadre de la requête, qui devra être suivi d'une</w:t>
      </w:r>
    </w:p>
    <w:p>
      <w:r>
        <w:t>- 9/14 - A/3949/2021 condition à l'autorisation de formaliser la division avant l'ouverture de chantier et donc de garantir réellement d'avoir plusieurs parcelles au début des travaux. Par ailleurs, le respect du maximum de 8% de CDPI sur l'ensemble de la parcelle (cas échéant sur chaque future parcelle selon le projet de division) est lui aussi impératif.</w:t>
      </w:r>
    </w:p>
    <w:p>
      <w:r>
        <w:rPr>
          <w:b/>
        </w:rPr>
        <w:t>E. 12</w:t>
      </w:r>
    </w:p>
    <w:p>
      <w:r>
        <w:t>Conformément à l’art. 59 al. 3 let. d LCI, lorsque les circonstances le justifient et que cette mesure est compatible avec le caractère, l'harmonie et l'aménagement du quartier, le département peut renoncer à prendre en considération dans le calcul du rapport des surfaces, la surface de plancher des serres, jardins d'hiver ou constructions analogues en matériaux légers et de dimensions modestes. Le législateur a prévu deux régimes distincts pour les jardins d'hiver, vérandas, d'une part, qui peuvent être exclus du calcul du rapport des surfaces qui régit la construction en zone villa, à certaines conditions, et pour les CDPI d'autre part, qui sont d'office exclus de ce calcul (ATA/1305/2018 du 4 décembre 2018 consid. 11d). Dans le cadre de l'art. 59 al. 3 let. d LCI, il est admis que lorsqu'il s'agit d'une maison d'habitation conforme à la zone, une véranda d'une surface inférieure à 20 m2 non-chauffée n'est en général pas prise en compte dans le calcul du rapport de surfaces (ATA/33/2019 du 15 janvier 2019 consid. 3e ; ATA/ 1064/2018 du 9 octobre 2018 consid. 5b ; ATA/475/2011 du 26 juillet 2011 consid. 6 ; ATA/125/2008 du 18 mars 2008 consid. 7). À défaut de bénéficier d'une telle « exonération », les constructions présentes ou prévues sur une parcelle située en cinquième zone doivent, par application a contrario de l'art. 59 LCI, être prises en considération dans la surface de plancher maximum autorisée.</w:t>
      </w:r>
    </w:p>
    <w:p>
      <w:r>
        <w:rPr>
          <w:b/>
        </w:rPr>
        <w:t>E. 13</w:t>
      </w:r>
    </w:p>
    <w:p>
      <w:r>
        <w:t>La directive LCI n° 021-v5 sur le rapport des surfaces en zone 5 émise par le département le 1er mars 2013 et modifiée le 29 mai 2019 précise notamment, s’agissant de la manière de calculer la SBP (let. d, p. 3), les critères définissant les serres, jardins d’hiver et vérandas qui ne sont pas pris en compte dans le calcul du rapport des surfaces, soit de tels ouvrages d’une surface totale de maximum 20 m2 réalisés en matériaux légers, c’est-à-dire entièrement vitrés y compris la toiture avec un socle d’environ 20 cm, les surfaces vitrées devant être clairement plus importantes que les surfaces pleines, et non chauffés et physiquement séparés (porte-fenêtre) avec la villa. En outre, dans l’habitat groupé, les loggias peuvent être considérées comme constructions analogues si elles respectent la surface totale maximale de 20 m2 par logement et sont traitées par un simple vitrage, sans serrurerie et permettant une ouverture totale (notamment « en accordéon »).</w:t>
      </w:r>
    </w:p>
    <w:p>
      <w:r>
        <w:rPr>
          <w:b/>
        </w:rPr>
        <w:t>E. 14</w:t>
      </w:r>
    </w:p>
    <w:p>
      <w:r>
        <w:t>En l’espèce, d’après le recourant, les quatre porches d’entrée, les quatre terrasses des bâtiments A et B, les huit loggias des bâtiments C et D et le bâtiment 15_____ existant, dont la démolition n’a pas été requise, n’auraient pas été pris en compte, ni dans le cadre du calcul du rapport des surfaces, ni dans celui des CDPI. Selon le</w:t>
      </w:r>
    </w:p>
    <w:p>
      <w:r>
        <w:t>- 10/14 - A/3949/2021 précité toujours, ces ouvrages devaient, à tout le moins, être comptabilisée au titre de CDPI, avec pour conséquence que la surface totale des CDPI sur la parcelle serait de 129,38 m2 (20,38 m2 de porches + 100 m2 de terrasses/loggias + 9 m2 du bâtiment 15_____). L’intimée quant à elle a répondu aux allégations précitées, qu’elle n’a pas contestées, en informant le tribunal du prochain dépôt d’une requête de division parcellaire auprès du registre foncier afin de régler la problématique des CDPI. Selon le DT, quand bien même les ouvrages précités n’auraient pas été pris en compte et que leur surface totale dépasserait les 100 m2, conformément à la jurisprudence, dans la mesure où la parcelle litigieuse pourrait accueillir 30 m2 de SBP supplémentaires, ceux-ci pourraient être soustraits de la surface des CDPI alléguée par le recourant, soit 129, 38 m2 – 30 m2, ce qui rendrait celle-ci conforme à l’art. 3 al. 3 RCI. Eu égard à la surface de la parcelle (8'558,5 m2) et le rapport de surface admissible (44 %), la SBP autorisable était de 3'765, 74 m2. En ajoutant la marge d’erreur de 3% admise par la jurisprudence (arrêt du Tribunal fédéral 1C_159/2020 du 5 octobre 2020 c. 4.3.2 et réf. cit.), la SBP totale autorisable serait de 3'878,71 m2. Or, dès lors que la SBP du projet querellé était de 3'755 m2 seulement, le solde disponible, de plus de 123 m2, suffisait à absorber le surplus de CDPI (29,38 m2) invoqué par le recourant. In casu, le tribunal constate tout d’abord que les quatre porches d’entrée, les quatre terrasses des bâtiments A et B, les huit loggias des bâtiments C et D et le bâtiment 15_____ ne remplissent pas, au vu des plans au dossier, les conditions posées par l’art. 59 al. 3 let. d LCI, ce qui n’est d’ailleurs pas contesté par les parties. Par conséquent, les surfaces y relatives ne pouvaient être écartées sans autre du calcul des surfaces du projet et devaient être prises en compte. Il n’est pas contesté par les parties que la surface des CDPI du projet est supérieure à la limite de 100 m2 posée par la jurisprudence. En effet, le tableau de répartition des surfaces de CDPI daté du 23 juin 2022, produit par l’intimée en annexe du projet de mutation parcellaire, prévoit une surface totale de CDPI de 431,65 m2 pour la parcelle n° 1______, tant avec que sans la mutation projetée. En outre, il ressort des plans au dossier, notamment du plan du rez-de-chaussée n° 006, que les terrasses des bâtiments A et B et les loggias des bâtiments C et D, sont couvertes et bordées de murs ou de poteaux, de sorte qu’elles doivent être prises en compte à 100 % en qualité de CDPI, conformément au schéma figurant en page 4 de la directive sur les CDPI. Selon les plans, la surface totale des deux terrasses du bâtiment A est de 16 m2, soit 2 x 8 m2, celle des deux terrasses du bâtiment B est de 17 m2, soit 8m2 + 9 m2, celle des quatre loggias du bâtiment C est de 32 m2, soit 2 x 7 m2 + 2 x 9 m2 et celle des quatre loggias du bâtiment D est de 35 m2, soit 1 x 6m2 + 2x 9 m2 + 1 x 11 m2. La surface du bâtiment 15_____ - qui, comme relevé à juste titre par le recourant n’apparaît pas dans la requête d’autorisation de démolir faisant l’objet du présent litige, de sorte qu’elle doit être</w:t>
      </w:r>
    </w:p>
    <w:p>
      <w:r>
        <w:t>- 11/14 - A/3949/2021 prise en compte - est de 9 m2. À cette surface de 109 m2 de CDPI doit encore être ajoutée la surface des quatre porches d’entrée, dont les dimensions n’apparaissent pas sur les plans au dossier. En tout état, il peut être retenu qu’ils font à tout le moins 4 m2 chacun, soit une surface totale de 16 m2 au minimum. Par conséquent, il peut être retenu que la surface totale de CDPI sur la parcelle n° 1______ est de 125 m2 au minimum. Au vu de ce qui précède, la question de savoir si une partie des surfaces des ouvrages précités pourrait être déduite du solde de la SBP autorisable, soit la différence entre le taux d’IUS de 43,9 % du projet et le taux « autorisable » de 44 %, souffrira de demeurer ouverte. En effet, il apparaît que la différence entre la SBP « autorisable », soit 3'765,74 m2 (8'558,5 x 44%) et la SBP du projet, soit 3'755 m2 (8'558,5 x 43,9 %) est d’environ 10 m2. Par conséquent, cette façon de procéder ne permettrait, en tout état, pas de respecter la limite de 100 m2 de CDPI, dès lors que la surface des CDPI du projet litigieux s’élèverait encore à environ 115 m2, comme vu supra. Au demeurant, l'ATA/862/2021 du 24 août 2021 (c. 3) auquel se réfère le DT en prétendant qu'il admettrait la possibilité de reporter une part excédentaire de CDPI sur une part inutilisée de la SBP ne consacre absolument pas un tel principe, qui serait au demeurant clairement contraire à la loi. Cette jurisprudence fait simplement allusion (par renvoi à l'ATA/612/2021 du 8 juin 2021) à la possibilité, pour la surface de sous-sol prévue par l'art. 59 al. 8 à 10 LCI, d'excéder, pour les éléments qui auraient correspondu à des CDPI, les limites prévues pour ce genre de construction. Pour le surplus, contrairement à l'argumentation du DT, la marge d’erreur de 3 % admise par la jurisprudence s'applique en matière de CDPI et pas du tout en matière de SBP, contrairement au calcul que propose le DT. De toute manière, une telle marge d'erreur ne saurait nullement être automatiquement ajoutée à tout projet afin de permettre d’augmenter une surface maximum autorisée.</w:t>
      </w:r>
    </w:p>
    <w:p>
      <w:r>
        <w:rPr>
          <w:b/>
        </w:rPr>
        <w:t>E. 15</w:t>
      </w:r>
    </w:p>
    <w:p>
      <w:r>
        <w:t>Afin de tenter de pallier au problème que pose en l'espèce la surface totale des CDPI, l'intimée a proposé durant la procédure judiciaire un projet de mutation parcellaire. Il convient d'en examiner les conséquences.</w:t>
      </w:r>
    </w:p>
    <w:p>
      <w:r>
        <w:rPr>
          <w:b/>
        </w:rPr>
        <w:t>E. 16</w:t>
      </w:r>
    </w:p>
    <w:p>
      <w:r>
        <w:t>S'agissant d'un projet impliquant une future mutation parcellaire, la jurisprudence distingue la situation dans laquelle cette mutation fait partie du dossier instruit par le département et est donc prise en compte par les instances de préavis compétentes, et la situation où la mutation apparaît durant la procédure contentieuse. Dans le premier cas, la future mutation parcellaire et ses conséquences peuvent être inclus dans l'examen judiciaire (ATA/805/2020 du 25 août 2020 consid. 13 a contrario), tandis que si elle ne fait pas formellement partie de l'autorisation de construire – et a fortiori si elle constitue une modification du projet opérée durant la procédure judiciaire -, elle est exorbitante à l'objet du litige et n'est alors pas prise en considération par l'autorité judiciaire (ATA/1157/2022 du 15 novembre 2022 consid. 3 ; ATA/1104/2020 du 3 novembre 2020 consid. 4a; ATA/805/2020 du 25 août 2020 consid. 13; JTAPI/105/2021 du 3 février 2021</w:t>
      </w:r>
    </w:p>
    <w:p>
      <w:r>
        <w:t>- 12/14 - A/3949/2021 consid. 50), cette conclusion étant également liée au fait qu'une mutation parcellaire ne peut être considérée comme une modification minime d'un projet, au sens restrictif admis par la jurisprudence (ATA/900/2010 du 21 décembre 2010 confirmé par arrêt 1C_61/2011 du Tribunal fédéral du 4 mai 2011, consid. 7 ; ATF 1C_221/2007 du 3 mars 2008 consid. 6.5 ; ATA/896/2021 du 31 août 2021 consid. 7 ; JTAPI/302/2021 du 25 mars 2021 consid. 34 ¸ JTAPI/700/2020 du 26 août 2020 consid. 13). Cette jurisprudence se fonde sur le principe plus général selon lequel une modification de l’objet du litige au stade de la procédure de recours n’est pas possible, étant rappelé que l’objet du litige correspond au contenu de la décision attaquée qui délimite strictement le cadre matériel dans lequel le contrôle juridictionnel doit s'opérer (ATF 136 V 362 consid. 3.4 et 4.2 ; arrêt du Tribunal fédéral 2C_581/2010 du 28 mars 2011 consid. 1.5 ; ATA/85/2022 du 1er février 2022 consid. 3a ; ATA/242/2020 du 3 mars 2020 consid. 2a).</w:t>
      </w:r>
    </w:p>
    <w:p>
      <w:r>
        <w:rPr>
          <w:b/>
        </w:rPr>
        <w:t>E. 17</w:t>
      </w:r>
    </w:p>
    <w:p>
      <w:r>
        <w:t>En l'espèce, un projet de mutation parcellaire a été versé au dossier durant la présente procédure de recours en juin 2022. Par conséquent, la division parcellaire envisagée n’a nullement été prise en considération dans le cadre de l'autorisation de construire, notamment en tant que condition suspensive à respecter avant l'ouverture du chantier, ledit projet de division étant postérieur au prononcé de la décision d’autorisation de construire attaquée. Or, conformément à la jurisprudence précitée, si la division parcellaire concernée constitue une modification du projet opérée durant la procédure contentieuse, ce qui est le cas ici, elle est exorbitante à l'objet du litige et n'est par conséquent pas prise en considération par l'autorité judiciaire. Il en résulte que le projet soumis au contrôle du tribunal entraîne une violation de l'art. 3 al. 3 RCI qui ne peut valablement être réparée au stade de la présente procédure.</w:t>
      </w:r>
    </w:p>
    <w:p>
      <w:r>
        <w:rPr>
          <w:b/>
        </w:rPr>
        <w:t>E. 18</w:t>
      </w:r>
    </w:p>
    <w:p>
      <w:r>
        <w:t>Cela étant, compte tenu de ce qui précède, il n'y a pas lieu de mettre à néant la requête DD 3______, ce qui obligerait la partie intimée à déposer un nouveau dossier, entraînant frais et délais qui ne se justifient pas dans la mesure où il apparaît a priori que l'autorité intimée serait prête à admettre la mutation parcellaire, sous réserve du préavis que devront encore rendre les instances compétentes.</w:t>
      </w:r>
    </w:p>
    <w:p>
      <w:r>
        <w:rPr>
          <w:b/>
        </w:rPr>
        <w:t>E. 19</w:t>
      </w:r>
    </w:p>
    <w:p>
      <w:r>
        <w:t>En conclusion, le recours sera admis et l’autorisation de construire DD 3______ annulée, mais le dossier renvoyé à l'autorité intimée pour la reprise de l'instruction du dossier au sens des considérants.</w:t>
      </w:r>
    </w:p>
    <w:p>
      <w:r>
        <w:rPr>
          <w:b/>
        </w:rPr>
        <w:t>E. 20</w:t>
      </w:r>
    </w:p>
    <w:p>
      <w:r>
        <w:t>Eu égard à la conclusion à laquelle le tribunal parvient ci-dessus, il n’est pas nécessaire d’examiner les autres griefs formulés par le recourant à l’encontre de cette décision.</w:t>
      </w:r>
    </w:p>
    <w:p>
      <w:r>
        <w:t>- 13/14 - A/3949/2021</w:t>
      </w:r>
    </w:p>
    <w:p>
      <w:r>
        <w:rPr>
          <w:b/>
        </w:rPr>
        <w:t>E. 21</w:t>
      </w:r>
    </w:p>
    <w:p>
      <w:r>
        <w:t>S’agissant de l’autorisation de démolir M 8______, contre laquelle le recourant a également interjeté recours dans le cadre de la présente procédure, le tribunal constate que cette dernière est étroitement liée à l’autorisation de construire annulée. En effet, il ne peut être exclu que dans l’hypothèse où cette autorisation de construire ne serait finalement pas délivrée, l’intimée renonce à se prévaloir de l’autorisation de démolir M 8______ ou encore souhaite modifier cette dernière, notamment s’agissant des bâtiments de moins de 20 m2 conservés, eu égard à la surface de CDPI du projet. Il y a donc lieu d'apporter, dans le présent jugement, à l’autorisation de démolir précitée une condition suspensive soumise à l'entrée en force d’une autorisation de construire sur la parcelle n° 1______.</w:t>
      </w:r>
    </w:p>
    <w:p>
      <w:r>
        <w:rPr>
          <w:b/>
        </w:rPr>
        <w:t>E. 22</w:t>
      </w:r>
    </w:p>
    <w:p>
      <w:r>
        <w:t>En application des art. 87 al. 1 LPA et 1 et 2 du règlement sur les frais, émoluments et indemnités en procédure administrative du 30 juillet 1986 (RFPA - E 5 10.03), B______ SA, qui succombe, est condamnée au paiement d’un émolument s'élevant à CHF 1'000.-.</w:t>
      </w:r>
    </w:p>
    <w:p>
      <w:r>
        <w:rPr>
          <w:b/>
        </w:rPr>
        <w:t>E. 23</w:t>
      </w:r>
    </w:p>
    <w:p>
      <w:r>
        <w:t>L’avance de frais de CHF 900.- versée par le recourant lui sera restituée.</w:t>
      </w:r>
    </w:p>
    <w:p>
      <w:r>
        <w:rPr>
          <w:b/>
        </w:rPr>
        <w:t>E. 24</w:t>
      </w:r>
    </w:p>
    <w:p>
      <w:r>
        <w:t>Vu l'issue du litige, une indemnité de procédure de CHF 1'200.- sera allouée au recourant, à la charge de B______ SA (art. 87 al. 2 à 4 LPA et 6 RFPA).</w:t>
      </w:r>
    </w:p>
    <w:p>
      <w:r>
        <w:t>- 14/14 - A/3949/2021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