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JTAPI/300/2025 vom 31. Dezember 2008</w:t>
      </w:r>
    </w:p>
    <w:p>
      <w:r>
        <w:t>GE Cour de justice, 2008-12-31, FR</w:t>
      </w:r>
    </w:p>
    <w:p>
      <w:r>
        <w:rPr>
          <w:b/>
        </w:rPr>
        <w:t xml:space="preserve">Quelle: </w:t>
      </w:r>
      <w:r>
        <w:t>https://mcp.opencaselaw.ch/entscheid/ge_gerichte_JTAPI_300_2025</w:t>
      </w:r>
    </w:p>
    <w:p>
      <w:r>
        <w:t>FR: GE_GERICHTE JTAPI/300/2025 du 31 décembre 2008</w:t>
      </w:r>
    </w:p>
    <w:p>
      <w:r>
        <w:t>IT: GE_GERICHTE JTAPI/300/2025 del 31 dicembre 2008</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3.1</w:t>
      </w:r>
    </w:p>
    <w:p>
      <w:r>
        <w:t>; ATA/392/2010 du</w:t>
      </w:r>
    </w:p>
    <w:p>
      <w:r>
        <w:rPr>
          <w:b/>
        </w:rPr>
        <w:t>E. 4</w:t>
      </w:r>
    </w:p>
    <w:p>
      <w:r>
        <w:t>À teneur de l’art. 42 al. 1 de la convention sur la circulation routière du 8 novembre 1968 (RS 0.741.10), conclue à Vienne le 8 novembre 1968, entrée en vigueur pour la Suisse le 11 décembre 1992 et pour la France le 21 mai 1977,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OAC). Les règles et principes énoncés ci-après sont donc applicables mutatis mutandis à l’interdiction de faire usage du permis de conduire étranger, notamment français, sur le territoire suisse.</w:t>
      </w:r>
    </w:p>
    <w:p>
      <w:r>
        <w:rPr>
          <w:b/>
        </w:rPr>
        <w:t>E. 5</w:t>
      </w:r>
    </w:p>
    <w:p>
      <w:r>
        <w:t>Lorsque la procédure prévue par la loi fédérale sur les amendes d’ordre du 24 juin 1970 (LAO - RS 741.03) n’est pas applicable, une infraction aux prescriptions sur la circulation routière entraîne le retrait du permis de conduire ou un avertissement (art. 16 al. 2 LCR).</w:t>
      </w:r>
    </w:p>
    <w:p>
      <w:r>
        <w:t>- 6/9 - A/3861/2024</w:t>
      </w:r>
    </w:p>
    <w:p>
      <w:r>
        <w:rPr>
          <w:b/>
        </w:rPr>
        <w:t>E. 6</w:t>
      </w:r>
    </w:p>
    <w:p>
      <w:r>
        <w:t>Pour déterminer la durée et s’il y a lieu de prononcer un retrait d’admonestation, la LCR distingue les infractions légères, moyennement graves et graves (art. 16a à 16c LCR).</w:t>
      </w:r>
    </w:p>
    <w:p>
      <w:r>
        <w:rPr>
          <w:b/>
        </w:rPr>
        <w:t>E. 7</w:t>
      </w:r>
    </w:p>
    <w:p>
      <w:r>
        <w:t>Commet en particulier une infraction grave, selon l’art. 16c al. 1 let. a LCR, la personne qui, en violant gravement les règles de la circulation, met sérieusement en danger la sécurité d’autrui ou en prend le risque.</w:t>
      </w:r>
    </w:p>
    <w:p>
      <w:r>
        <w:rPr>
          <w:b/>
        </w:rPr>
        <w:t>E. 8</w:t>
      </w:r>
    </w:p>
    <w:p>
      <w:r>
        <w:t>juin 2010 consid. 6 ; ATA/456/2009 du 15 septembre 2009 consid. 8c).</w:t>
      </w:r>
    </w:p>
    <w:p>
      <w:r>
        <w:rPr>
          <w:b/>
        </w:rPr>
        <w:t>E. 9</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 1C_83/2008 du 16 octobre 2008 et les références citées).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3.2).</w:t>
      </w:r>
    </w:p>
    <w:p>
      <w:r>
        <w:rPr>
          <w:b/>
        </w:rPr>
        <w:t>E. 10</w:t>
      </w:r>
    </w:p>
    <w:p>
      <w:r>
        <w:t>Après une infraction grave, le permis d’élève conducteur ou le permis de conduire est retiré pour six mois au minimum si, au cours des cinq années précédentes, le permis a été retiré une fois en raison d’une infraction moyennement grave (art. 16c al. 2 let. b LCR) et pour douze mois au minimum si, au cours des cinq années précédentes, le permis a été retiré une fois en raison d’une infraction grave ou à deux reprises en raison d’infractions moyennement graves art. 16c al. 2 let. c LCR).</w:t>
      </w:r>
    </w:p>
    <w:p>
      <w:r>
        <w:rPr>
          <w:b/>
        </w:rPr>
        <w:t>E. 11</w:t>
      </w:r>
    </w:p>
    <w:p>
      <w:r>
        <w:t>Selon une jurisprudence constante en matière de circulation routière, les délais de récidive (ou délais d'épreuve ; Message du Conseil fédéral du 31 mars 1999 concernant la modification de la LCR, FF 1999 IV 4106, spé. consid. 4135) prévus par les art. 16a à c LCR commencent à courir à la fin de l'exécution d'un précédent retrait de permis (ATF 136 II 447 consid. 5.3 ; arrêts du Tribunal fédéral</w:t>
      </w:r>
    </w:p>
    <w:p>
      <w:r>
        <w:t>- 7/9 - A/3861/2024 1C_520/2013 du 17 septembre 2013 consid. 2 et 3 ; 1C_452/2011 du 21 août 2012 consid. 3.8 ; 1C_180/2010 du 22 septembre 2010 consid. 2 ; Cédric MIZEL, Droit et pratique illustrée du retrait du permis de conduire, 2015, n. 79.3 p. 600 s. ; Yvan JEANNERET/André KUHN/Cédric MIZEL/Olivier RISKE, op. cit., n. 4.3 ad intro art. 16 ss LCR).</w:t>
      </w:r>
    </w:p>
    <w:p>
      <w:r>
        <w:rPr>
          <w:b/>
        </w:rPr>
        <w:t>E. 12</w:t>
      </w:r>
    </w:p>
    <w:p>
      <w:r>
        <w:t>Selon l’art.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13</w:t>
      </w:r>
    </w:p>
    <w:p>
      <w:r>
        <w:t>Depuis le 1er avril 2023, selon l’art. 33 al. 5 OAC, l’autorité cantonale peut délivrer aux titulaires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 a. le permis a été retiré à la suite d’une infraction légère au sens de l’art. 16a LCR ; b. il n’a pas été retiré pour une durée indéterminée ou de manière définitive ; c. il n’a pas été retiré plus d’une fois au cours des cinq années précédentes. d. En l’espèce, le recourant a reconnu l’infraction qui lui était reprochée, à savoir un dépassement de la vitesse maximale autorisée de 30 km/h (marge de sécurité déduite), hors localité, au volant de sa voiture. De ce fait, il résulte clairement de la jurisprudence précitée que l’infraction commise par le recourant doit être qualifiée de grave. Compte tenu du fait qu’il a déjà fait l’objet de deux interdictions de faire usage de son permis étranger sur le territoire suisse, respectivement par décision du 11 juillet 2017, en raison d’une infraction grave, exécutée du 10 octobre 2016 au 9 octobre 2018 et par décision du 27 février 2023, en raison d’une infraction moyennement grave, exécutée du 1er au 31 août 2023,l’OCV ne s’est pas écarté du minimum légal prévu par l’art. 16c al. 2 let. c LCR et n’a pas violé la loi ou excédé de son pouvoir d’appréciation en fixant à douze mois l’interdiction de faire usage du permis de conduire étranger sur le territoire suisse.</w:t>
      </w:r>
    </w:p>
    <w:p>
      <w:r>
        <w:t>- 8/9 - A/3861/2024 Les besoins professionnels et personnels invoqués par le recourant n’ont, dans ces conditions, pas à être pris en compte, ne pouvant dans tous les cas pas avoir pour effet de réduire la sanction, l’OCV étant lié par cette durée qui constitue le minimum légal incompressible, comme le retient la jurisprudence. Le recourant demande à ce que sa sanction soit aménagée, afin de pouvoir bénéficier d’une autorisation de faire usage de son permis pour ses trajets professionnels au sens de l’art. 33 al. 5 OAC. Le tribunal ne saurait donner suite à cette requête. En effet, le recourant ayant commis une faute grave, les conditions cumulatives de l’art. 33 al. 5 OAC ne sont pas remplies. e. Ne reposant sur aucun motif valable, le recours sera rejeté. f. 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aucune indemnité de procédure ne sera allouée (art. 87 al. 2 LPA).</w:t>
      </w:r>
    </w:p>
    <w:p>
      <w:r>
        <w:t>- 9/9 - A/3861/2024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