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JTAPI/298/2023 vom 6. Dezember 2022</w:t>
      </w:r>
    </w:p>
    <w:p>
      <w:r>
        <w:t>GE Cour de justice, 2022-12-06, FR</w:t>
      </w:r>
    </w:p>
    <w:p>
      <w:r>
        <w:rPr>
          <w:b/>
        </w:rPr>
        <w:t xml:space="preserve">Quelle: </w:t>
      </w:r>
      <w:r>
        <w:t>https://mcp.opencaselaw.ch/entscheid/ge_gerichte_JTAPI_298_2023</w:t>
      </w:r>
    </w:p>
    <w:p>
      <w:r>
        <w:t>FR: GE_GERICHTE JTAPI/298/2023 du 6 décembre 2022</w:t>
      </w:r>
    </w:p>
    <w:p>
      <w:r>
        <w:t>IT: GE_GERICHTE JTAPI/298/2023 del 6 dicembre 2022</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64 de la loi sur la procédure administrative du 12 septembre 1985 (LPA - E 5 10).</w:t>
      </w:r>
    </w:p>
    <w:p>
      <w:r>
        <w:rPr>
          <w:b/>
        </w:rPr>
        <w:t>E. 3</w:t>
      </w:r>
    </w:p>
    <w:p>
      <w:r>
        <w:t>Selon l'art. 65 LPA, l'acte de recours contient, sous peine d'irrecevabilité, la désignation de la décision attaquée et les conclusions du recourant (al. 1). Il contient également l'exposé des motifs ainsi que l'indication des moyens de preuve (al. 2).</w:t>
      </w:r>
    </w:p>
    <w:p>
      <w:r>
        <w:t>- 4/11 - A/4187/2022 Compte tenu du caractère peu formaliste de cette disposition, la jurisprudence fait preuve d'une certaine souplesse s'agissant de la manière par laquelle sont formulées les conclusions du recourant, notamment si le recourant agit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 2021 consid. 2 ; ATA/1790/2019 du 10 décembre 2019 ; ATA/1199/2019 du 30 juillet 2019).</w:t>
      </w:r>
    </w:p>
    <w:p>
      <w:r>
        <w:rPr>
          <w:b/>
        </w:rPr>
        <w:t>E. 4</w:t>
      </w:r>
    </w:p>
    <w:p>
      <w:r>
        <w:t>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rPr>
          <w:b/>
        </w:rPr>
        <w:t>E. 5</w:t>
      </w:r>
    </w:p>
    <w:p>
      <w:r>
        <w:t>En l'espèce, dans son courrier du 8 décembre 2022, la recourante, qui n'est pas représentée par un avocat, n'a certes pas formellement pris de conclusions et ne s'est référée à aucune base légale, mais on comprend toutefois qu'elle conteste l'amende administrative litigieuse et sollicite son annulation. Elle explique en quoi la décision attaquée est critiquable et énonce les griefs qui sous-tendent cette « opposition » (Einsprache), de sorte que son courrier doit être considéré comme un acte de recours, lequel permet de cerner avec suffisamment de précision l'objet du litige et a de surcroît été déposé dans les délais. À cela s'ajoute que l’autorité intimée a pu comprendre les raisons qui amenait la recourante à contester la décision litigieuse et y répondre en détail à l'occasion des échanges d'écritures. Ainsi, bien que formulé de manière imprécise, le recours doit donc être déclaré recevable sur ce point également.</w:t>
      </w:r>
    </w:p>
    <w:p>
      <w:r>
        <w:rPr>
          <w:b/>
        </w:rPr>
        <w:t>E. 6</w:t>
      </w:r>
    </w:p>
    <w:p>
      <w:r>
        <w:t>La recourante conteste le principe de l'amende administrative infligée à son encontre. Elle fait notamment valoir qu'elle ne serait pas responsable du dépôt illicite du carton en question.</w:t>
      </w:r>
    </w:p>
    <w:p>
      <w:r>
        <w:t>- 5/11 - A/4187/2022</w:t>
      </w:r>
    </w:p>
    <w:p>
      <w:r>
        <w:rPr>
          <w:b/>
        </w:rPr>
        <w:t>E. 7</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8</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w:t>
      </w:r>
    </w:p>
    <w:p>
      <w:r>
        <w:rPr>
          <w:b/>
        </w:rPr>
        <w:t>E. 9</w:t>
      </w:r>
    </w:p>
    <w:p>
      <w:r>
        <w:t>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w:t>
      </w:r>
    </w:p>
    <w:p>
      <w:r>
        <w:rPr>
          <w:b/>
        </w:rPr>
        <w:t>E. 10</w:t>
      </w:r>
    </w:p>
    <w:p>
      <w:r>
        <w:t>Il est interdit d'éliminer ou de déposer des déchets hors des installations publiques ou privées autorisées par le département ou des emplacements aménagés à cet effet et désignés par voie de règlement (art. 10 al. 1 LGD).</w:t>
      </w:r>
    </w:p>
    <w:p>
      <w:r>
        <w:rPr>
          <w:b/>
        </w:rPr>
        <w:t>E. 11</w:t>
      </w:r>
    </w:p>
    <w:p>
      <w:r>
        <w:t>Selon l'art. 17 du règlement d'application de la loi sur la gestion des déchets du 28 juillet 1999 (RGD - L 1 20.01), les communes peuvent édicter des règlements communaux sur le bon fonctionnement de leurs infrastructures de collecte et sur leur gestion des déchets ménagers (al. 1), ces règlements pouvant prévoir les sanctions et les mesures prévues par la loi (al. 2).</w:t>
      </w:r>
    </w:p>
    <w:p>
      <w:r>
        <w:rPr>
          <w:b/>
        </w:rPr>
        <w:t>E. 12</w:t>
      </w:r>
    </w:p>
    <w:p>
      <w:r>
        <w:t>Le règlement de la ville sur la gestion des déchets du 18 décembre 2019 (LC 21 911, ci-après : le règlement communal) fixe les modalités de la collecte, du transport et de l'élimination des déchets urbains sur son territoire (cf. art. 1 al. 1). Selon l'art. 23 du règlement communal, le service en charge de la collecte des déchets met des écopoints à disposition des ménages et des entreprises. Il s’agit</w:t>
      </w:r>
    </w:p>
    <w:p>
      <w:r>
        <w:t>- 6/11 - A/4187/2022 d’installations de tri des déchets équipées de réceptacles destinés à la collecte des déchets recyclables, cas échéant des ordures ménagères et assimilées (al. 1). Il existe 2 types d’écopoints : a) l'écopoint de base : permet la collecte des déchets recyclables. Il vient compléter les installations de collecte des immeubles (conteneurs à ordures ménagères, papier-carton et déchets organiques); b) l’écopoint de quartier : réunit en un seul endroit les installations de collecte des ordures ménagères et des déchets recyclables (al. 2). Les conditions d’utilisation sont affichées sur les écopoints. Ceux-ci sont utilisables du lundi au samedi de 7h30 à 22h00, et les dimanches et jours fériés de 10h00 à 18h00 (al. 3). Le dépôt de déchets hors des réceptacles est strictement interdit (al. 4). Le dépôt de déchets tels que les déchets encombrants, les déchets spéciaux (à l’exception des piles), les déchets de métaux et ferraille, est strictement interdit (al. 5). Enfin, l’art. 30 al. 1 du règlement communal stipule qu’il est interdit d’éliminer ou de déposer des déchets sur le territoire de la ville hors des emplacements et des installations aménagées à cet effet et en dehors des horaires définis par le service en charge de la collecte des déchets.</w:t>
      </w:r>
    </w:p>
    <w:p>
      <w:r>
        <w:rPr>
          <w:b/>
        </w:rPr>
        <w:t>E. 13</w:t>
      </w:r>
    </w:p>
    <w:p>
      <w:r>
        <w:t>Conformément aux art. 43 al. 1 LGD et 31 du règlement communal, est passible d'une amende administrative de CHF 400.- à CHF 400'000.- tout contrevenant à la LGD, au RGD, et au règlement communal.</w:t>
      </w:r>
    </w:p>
    <w:p>
      <w:r>
        <w:rPr>
          <w:b/>
        </w:rPr>
        <w:t>E. 14</w:t>
      </w:r>
    </w:p>
    <w:p>
      <w:r>
        <w:t>L’art. 31 al. 2 du règlement communal précise enfin qu’il est tenu compte, dans la fixation de l’amende, du degré de gravité de l’infraction et/ou des antécédents du contrevenant.</w:t>
      </w:r>
    </w:p>
    <w:p>
      <w:r>
        <w:rPr>
          <w:b/>
        </w:rPr>
        <w:t>E. 15</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w:t>
      </w:r>
    </w:p>
    <w:p>
      <w:r>
        <w:t>- 7/11 - A/4187/2022</w:t>
      </w:r>
    </w:p>
    <w:p>
      <w:r>
        <w:rPr>
          <w:b/>
        </w:rPr>
        <w:t>E. 16</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34ss, 42ss, 56ss, 74ss, 106 al. 2 et 3 et 107 CP (not. ATA/559/2021 du 25 mai 2021 consid. 7d ; ATA/403/2019 du 9 avril 2019 consid. 7b ; ATA/1277/2018 du 27 novembre 2018 consid. 6c).). Il est ainsi en particulier nécessaire que le contrevenant ait commis une faute, fût- ce sous la forme d'une simple négligence (cf. not. ATA/559/2021 du 25 mai 2021 consid. 7d ; ATA/13/2020 du 7 janvier 2020 consid. 7c ; ATA/1828/2019 du 17 décembre 2019 consid. 13c ; ATA/1277/2018 du 27 novembre 2018 consid. 6c).</w:t>
      </w:r>
    </w:p>
    <w:p>
      <w:r>
        <w:rPr>
          <w:b/>
        </w:rPr>
        <w:t>E. 17</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le juge ne la censurant qu'en cas d'excès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t>- 8/11 - A/4187/2022</w:t>
      </w:r>
    </w:p>
    <w:p>
      <w:r>
        <w:rPr>
          <w:b/>
        </w:rPr>
        <w:t>E. 18</w:t>
      </w:r>
    </w:p>
    <w:p>
      <w:r>
        <w:t>L'amende doit respecter le principe de la proportionnalité garanti par l'art. 5 al. 2 Cst.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19</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(ATA/24/2022 du 11 janvier 2022 consid. 8a). 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(ATA/978/2019 du 4 juin 2019 consid. 4b et les arrêts cités), aucun moyen de preuve ne s'imposant à lui (cf. not. arrêts du Tribunal fédéral 6B_58/2017 du 21 août 2017 consid. 2.1 ; 6B_564/2013 du 22 avril 2014 consid. 2.3).</w:t>
      </w:r>
    </w:p>
    <w:p>
      <w:r>
        <w:rPr>
          <w:b/>
        </w:rPr>
        <w:t>E. 20</w:t>
      </w:r>
    </w:p>
    <w:p>
      <w:r>
        <w:t>En l'espèce, aucune des parties ne remet en cause le fait qu'un déchet, soit en l'occurrence un carton, a été déposé au niveau de l'écopoint du ______[GE] en dehors du container prévu à cet effet. Il est donc manifeste qu'une infraction à la</w:t>
      </w:r>
    </w:p>
    <w:p>
      <w:r>
        <w:t>- 9/11 - A/4187/2022 LGD a été commise ce qui justifie, en soi, le prononcé d'une amende administrative à l'encontre de son auteur. En revanche, la recourante conteste être responsable de ce dépôt illicite et indique qu'il ne pouvait s'agir que de la société C______AG ou de B______ SA. À l'appui de ses affirmations, elle a notamment produit un bon de livraison daté du 23 novembre 2022 indiquant que le transport de la marchandise commandée par B______ SA a été effectué par la société C______AG. De son côté, la ville prétend que la recourante serait responsable dudit dépôt illicite, dès lors qu'un bon de livraison muni de son entête aurait été retrouvé sur le carton concerné et que les employés de la société B______ SA, soit les réceptionnistes et le magasinier, lui auraient affirmé, lors du passage au commerce, que le livreur serait passé à la réception avec un carton sur une palette à déposer, qu'il lui aurait ouvert le local de stockage et que celui-ci aurait uniquement déposé la marchandise sans emballage ni bon de livraison. Or, contrairement à ce qu'affirme la ville, rien n'indique que la recourante serait à l'origine du dépôt illicite en l'absence de preuve concrète. En effet, si la lecture de la main courante des contrôleurs du domaine public renseigne sur le fait qu'un « livreur » aurait déposé la marchandise commandée sans emballage, rien ne permet de conclure qu'il s'agissait d'un employé de la recourante ou que celle-ci aurait donné ce type d'instruction au transporteur qu'elle avait mandaté. En outre, il convient de garder à l'esprit que ces déclarations ont été faites par les employés de la société B______ SA, destinataire de la marchandise commandée, et que le carton a été retrouvé au niveau de l'écopoint situé au ______[GE], soit à proximité immédiate du siège de B______ SA. Dans cette mesure, les affirmations des réceptionnistes et du magasinier de cette dernière doivent être relativisés et ne sauraient dès lors constituer des éléments aussi probants que l'entend la ville permettant à eux-seuls de déterminer avec certitude l'identité de l'auteur de l'infraction, alors que la recourante a produit un bon de livraison indiquant qu'elle avait mandaté un transporteur tiers afin d'acheminer le colis en question. Par conséquent, force est de constater l'instruction de l'infraction opérée par la ville est manifestement insuffisante pour démontrer la responsabilité de la recourante. Elle ne pouvait se contenter des affirmations des employés du destinataire du colis en question pour présumer de l'identité réelle de l'auteur de l'infraction, ce d'autant qu'à teneur des éléments en mains du tribunal, il ne semble pas que la recourante aurait eu l'occasion de s'exprimer sur les faits constatés avant que l'autorité intimée lui inflige cette sanction. Ainsi, le principe du prononcé d'une amende administrative à l'encontre de la recourante n'est pas fondé. Partant, le recours est admis et la décision du 6 décembre 2022 annulée.</w:t>
      </w:r>
    </w:p>
    <w:p>
      <w:r>
        <w:t>- 10/11 - A/4187/2022</w:t>
      </w:r>
    </w:p>
    <w:p>
      <w:r>
        <w:rPr>
          <w:b/>
        </w:rPr>
        <w:t>E. 21</w:t>
      </w:r>
    </w:p>
    <w:p>
      <w:r>
        <w:t>En application des art. 87 al. 1 LPA et 1 et 2 du règlement sur les frais, émoluments et indemnités en procédure administrative du 30 juillet 1986 (RFPA - E 5 10.03), la recourante, qui obtient gain de cause, est dispensée du paiement d’un émolument. L’avance de frais de CHF 250.-, versée à la suite du dépôt du recours, lui sera restituée. Aucune indemnité de procédure ne sera allouée, la recourante n'y ayant pas conclu (art. 87 al. 2 LPA).</w:t>
      </w:r>
    </w:p>
    <w:p>
      <w:r>
        <w:t>- 11/11 - A/4187/2022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