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JTAPI/296/2021 vom 16. März 2021</w:t>
      </w:r>
    </w:p>
    <w:p>
      <w:r>
        <w:t>GE Cour de justice, 2021-03-16, FR</w:t>
      </w:r>
    </w:p>
    <w:p>
      <w:r>
        <w:rPr>
          <w:b/>
        </w:rPr>
        <w:t xml:space="preserve">Quelle: </w:t>
      </w:r>
      <w:r>
        <w:t>https://mcp.opencaselaw.ch/entscheid/ge_gerichte_JTAPI_296_2021</w:t>
      </w:r>
    </w:p>
    <w:p>
      <w:r>
        <w:t>FR: GE_GERICHTE JTAPI/296/2021 du 16 mars 2021</w:t>
      </w:r>
    </w:p>
    <w:p>
      <w:r>
        <w:t>IT: GE_GERICHTE JTAPI/296/2021 del 16 marzo 2021</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w:t>
      </w:r>
    </w:p>
    <w:p>
      <w:r>
        <w:t>- 4/6 - A/1041/2021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ressort clairement du dossier que Mme A______ fait l’objet de violences physiques et psychologiques de la part de son époux, depuis plusieurs années déjà. Celui-ci a notamment admis l’avoir giflée à 3 ou 4 reprises lorsqu’ils étaient jeunes mariés et les filles du couple ont confirmé des éléments récurrents de violence psychologique et des menaces de violence physique et de mort de la part de leur père envers leur mère, selon un certificat médical du 2 novembre 2018. La situation dans laquelle se trouve le couple encore aujourd'hui apparait très difficile au point que la demanderesse souhaite désormais la séparation et qu'elle s'apprête à déposer une demande de MPUC auprès du Tribunal de première instance. La demanderesse a également souligné sa peur de vivre de nouvelles violences et sa détresse s'est pleinement ressentie lors de l'audience devant le tribunal. Les conditions d'une prolongation de la mesure d'éloignement sont donc</w:t>
      </w:r>
    </w:p>
    <w:p>
      <w:r>
        <w:t>- 5/6 - A/1041/2021 réalisées sur le principe. M. B______ a pour sa part indiqué qu’il ne s’y opposait pas et qu’il respecterait la mesure d’éloignement.</w:t>
      </w:r>
    </w:p>
    <w:p>
      <w:r>
        <w:t>Par conséquent, la demande de prolongation sera admise et la mesure d'éloignement prolongée pour une durée de trente jours, laquelle est en l'état utile, nécessaire et proportionnée. Elle le sera sous la menace de l'art. 292 CP, dont la teneur figure ci-dessus. Elle prendra donc fin le 25 avril 2021 à midi.</w:t>
      </w:r>
    </w:p>
    <w:p>
      <w:r>
        <w:rPr>
          <w:b/>
        </w:rPr>
        <w:t>E. 5</w:t>
      </w:r>
    </w:p>
    <w:p>
      <w:r>
        <w:t>Il ne sera pas perçu d'émolument ni alloué d’indemnité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- 6/6 - A/1041/2021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