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JTAPI/290/2025 vom 10. März 2025</w:t>
      </w:r>
    </w:p>
    <w:p>
      <w:r>
        <w:t>GE Cour de justice, 2025-03-10, FR</w:t>
      </w:r>
    </w:p>
    <w:p>
      <w:r>
        <w:rPr>
          <w:b/>
        </w:rPr>
        <w:t xml:space="preserve">Quelle: </w:t>
      </w:r>
      <w:r>
        <w:t>https://mcp.opencaselaw.ch/entscheid/ge_gerichte_JTAPI_290_2025</w:t>
      </w:r>
    </w:p>
    <w:p>
      <w:r>
        <w:t>FR: GE_GERICHTE JTAPI/290/2025 du 10 mars 2025</w:t>
      </w:r>
    </w:p>
    <w:p>
      <w:r>
        <w:t>IT: GE_GERICHTE JTAPI/290/2025 del 10 marzo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w:t>
      </w:r>
    </w:p>
    <w:p>
      <w:r>
        <w:t>- 10/12 - A/909/2025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malgré les déclarations contradictoires des parties, il ne fait aucun doute qu'une altercation violente a eu lieu le 9 mars 2025, d'abord dans la rue, à la hauteur du n° 5______ de la rue E______, avant qu'elle ne se poursuive dans un appartement, sis à la rue G______ 3______, en présence de témoins, amis du couple. Les explications nuancées de Mme A______ apparaissent crédibles vu les éléments ressortant du rapport de renseignements du 10 mars 2025, en particulier les déclarations de la témoin – concordantes avec celles de la précitée – et les photographies des dommages causés et des blessures occasionnées, corroborées par le constat de lésions traumatiques produit à l'audience. A cela s'ajoute que les déclarations de M. B______ en audience, bien qu'il conteste avoir menacé de mort son épouse, en pointant un couteau dans sa direction, et l'avoir frappée, laissent néanmoins entendre qu'il n'a pas su maîtriser sa colère quand son épouse a refusé de monter dans son véhicule, ce dernier ayant admis, à demi-mots, l'avoir « jetée » dans la voiture. Ses dénégations apparaissent, au surplus, d'autant moins crédibles qu'il a lui-même admis devant l'amie du couple suivre son épouse au moyen du GPS du téléphone portable de celle-ci, ce qui apparaît être l'explication la plus plausible au fait qu'il se soit rendu, en voiture, à l'endroit exact où se trouvait son épouse. A ces éléments s'ajoutent, eu égard aux déclarations de Mme A______, qu'il apparaît que des violences verbales et physiques auraient déjà eu lieu en 2023 et 2024, violences qu'elle n'aurait pas dénoncées vu l'emprise de son époux, lequel risquerait de perdre son titre de séjour obtenu suite à leur mariage.</w:t>
      </w:r>
    </w:p>
    <w:p>
      <w:r>
        <w:rPr>
          <w:b/>
        </w:rPr>
        <w:t>E. 5</w:t>
      </w:r>
    </w:p>
    <w:p>
      <w:r>
        <w:t>Compte tenu des déclarations des parties, qui ne souhaitent pas reprendre la vie commune au vu de leurs conflits récurrents, il est évident qu'un retour au domicile de M. B______ représente un risque de réitération de violences à l'encontre de Mme A______. A cela s'ajoute que M. B______ a lui-même indiqué solliciter cette mesure pour une durée de six mois. Dans cette mesure, le tribunal admettra la demande de prolongation de la mesure d'éloignement sollicitée par Mme A______.</w:t>
      </w:r>
    </w:p>
    <w:p>
      <w:r>
        <w:rPr>
          <w:b/>
        </w:rPr>
        <w:t>E. 6</w:t>
      </w:r>
    </w:p>
    <w:p>
      <w:r>
        <w:t>Par conséquent, la demande de prolongation sera admise et la mesure d'éloignement prolongée pour une durée de 30 jours, soit jusqu'au 20 avril 2025 à 17h00. Il sera</w:t>
      </w:r>
    </w:p>
    <w:p>
      <w:r>
        <w:t>- 11/12 - A/909/2025 encore souligné, qu'à cette échéance, Mme A______ aura encore la possibilité, conformément à l'art. 11 al. 2 LVD, de demander à nouveau la prolongation de la mesure d'éloignement.</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- 12/12 - A/909/2025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