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JTAPI/28/2024 vom 16. Januar 2024</w:t>
      </w:r>
    </w:p>
    <w:p>
      <w:r>
        <w:t>GE Cour de justice, 2024-01-16, FR</w:t>
      </w:r>
    </w:p>
    <w:p>
      <w:r>
        <w:rPr>
          <w:b/>
        </w:rPr>
        <w:t xml:space="preserve">Quelle: </w:t>
      </w:r>
      <w:r>
        <w:t>https://mcp.opencaselaw.ch/entscheid/ge_gerichte_JTAPI_28_2024</w:t>
      </w:r>
    </w:p>
    <w:p>
      <w:r>
        <w:t>FR: GE_GERICHTE JTAPI/28/2024 du 16 janvier 2024</w:t>
      </w:r>
    </w:p>
    <w:p>
      <w:r>
        <w:t>IT: GE_GERICHTE JTAPI/28/2024 del 16 gennaio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13 janvier 2024 à 16h53, comme l’indique le procès- 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w:t>
      </w:r>
    </w:p>
    <w:p>
      <w:r>
        <w:t>- 4/9 - A/121/2024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Tirana a été réservée pour le 17 janvier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- 5/9 - A/121/2024</w:t>
      </w:r>
    </w:p>
    <w:p>
      <w:r>
        <w:rPr>
          <w:b/>
        </w:rPr>
        <w:t>E. 8</w:t>
      </w:r>
    </w:p>
    <w:p>
      <w:r>
        <w:t>À teneur de l'art. 76 al. 1 let. b ch. 1 LEI (cum art. 75 al. 1 let. g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w:t>
      </w:r>
    </w:p>
    <w:p>
      <w:r>
        <w:t>- 6/9 - A/121/2024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 Dans cette mesure, le Tribunal fédéral a jugé que la position de la chambre administrative de Cour de justice, qui se fondait sur sa jurisprudence selon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w:t>
      </w:r>
    </w:p>
    <w:p>
      <w:r>
        <w:t>- 7/9 - A/121/2024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11</w:t>
      </w:r>
    </w:p>
    <w:p>
      <w:r>
        <w:t>En l'occurrence, M. A______ fait l’objet d’une décision de renvoi immédiatement exécutoire prononcée par l’OCPM le 13 janvier 2024. Il a été poursuivi et condamné pour infraction à l’art. 19 al. 1 LStup en raison de son implication dans un trafic d'héroïne, soit une drogue dure. Il est évident qu’il s’est livré à un tel trafic parce qu’il y a perçu un moyen facile de se procurer rapidement et sans peine de l’argent, étant sans source de revenu et sans domicile à Genève, et ayant par ailleurs reconnu avoir été dans le besoin. Il est en outre consommateur de marijuana. Force est donc de constater qu’il n’a pas agi ou du moins n’avait pas l’intention d’agir « que de manière isolée » et qu’il aurait sans nul doute poursuivi cette activité s’il n’avait pas été interpellé par la police. Ces circonstances démontrent l’existence d’un risque sérieux qu’il pourrait continuer à vendre de l'héroïne - dont tout porte à croire que ce trafic constituait la raison principale de son séjour à Genève - s’il était remis en liberté, de sorte que sa détention administrative est justifiée. L’assurance de son départ de Suisse répond par ailleurs à un intérêt public certain et toute autre mesure moins incisive que la détention administrative serait vaine pour assurer sa présence le 17 janvier 2024, au moment où M. A______ devra monter dans l’avion devant le reconduire dans son pays d’origine.</w:t>
      </w:r>
    </w:p>
    <w:p>
      <w:r>
        <w:rPr>
          <w:b/>
        </w:rPr>
        <w:t>E. 12</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l'espèce, l'autorité chargée du renvoi a agi avec diligence et célérité, dès lors qu'elle a immédiatement procédé à la réservation d'une place sur un vol de ligne pour permettre le renvoi de M. A______ dans son pays d'origine, lequel pourra avoir lieu le 17 janvier 2024 déjà.</w:t>
      </w:r>
    </w:p>
    <w:p>
      <w:r>
        <w:rPr>
          <w:b/>
        </w:rPr>
        <w:t>E. 14</w:t>
      </w:r>
    </w:p>
    <w:p>
      <w:r>
        <w:t>Selon l'art. 79 al. 1 LEI, la détention en vue du renvoi ne peut excéder six mois au total. Cette durée maximale peut néanmoins, avec l’accord de l’autorité judiciaire</w:t>
      </w:r>
    </w:p>
    <w:p>
      <w:r>
        <w:t>- 8/9 - A/121/2024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En l'espèce, eu égard à l'ensemble des circonstances, il y a lieu de confirmer l'ordre de mise en détention administrative pour une durée de trois semaines, qui respecte en soi l'art. 79 LEI et n'apparaît pas disproportionnée.</w:t>
      </w:r>
    </w:p>
    <w:p>
      <w:r>
        <w:rPr>
          <w:b/>
        </w:rPr>
        <w:t>E. 16</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w:t>
      </w:r>
    </w:p>
    <w:p>
      <w:r>
        <w:rPr>
          <w:b/>
        </w:rPr>
        <w:t>E. 21</w:t>
      </w:r>
    </w:p>
    <w:p>
      <w:r>
        <w:t>janvier 2024 au plus tard, si l'exécution du renvoi s'est concrétisée ou non. 17.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