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JTAPI/288/2022 vom 22. März 2022</w:t>
      </w:r>
    </w:p>
    <w:p>
      <w:r>
        <w:t>GE Cour de justice, 2022-03-22, FR</w:t>
      </w:r>
    </w:p>
    <w:p>
      <w:r>
        <w:rPr>
          <w:b/>
        </w:rPr>
        <w:t xml:space="preserve">Quelle: </w:t>
      </w:r>
      <w:r>
        <w:t>https://mcp.opencaselaw.ch/entscheid/ge_gerichte_JTAPI_288_2022</w:t>
      </w:r>
    </w:p>
    <w:p>
      <w:r>
        <w:t>FR: GE_GERICHTE JTAPI/288/2022 du 22 mars 2022</w:t>
      </w:r>
    </w:p>
    <w:p>
      <w:r>
        <w:t>IT: GE_GERICHTE JTAPI/288/2022 del 22 marzo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- 12/17 - A/3212/2021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La propriétaire propose l’audition de Messieurs K______ et L______.</w:t>
      </w:r>
    </w:p>
    <w:p>
      <w:r>
        <w:rPr>
          <w:b/>
        </w:rPr>
        <w:t>E. 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 218 consid. 2.3 ; 139 II 489 consid. 3.3 ; 137 IV 33 consid. 9.2 ; 135 I 279 consid. 2.3 ; 132 II 485 consid. 3.2 ; 127 I 54 consid. 2b ; 127 III 576 consid. 2c ; arrêt du Tribunal fédéral 2C_421/2014 du 26 novembre 2014 consid. 2.1).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 ; arrêts du Tribunal fédéral 2C_421/2014 du 26 novembre 2014 consid. 2.1 ; 6B_424/2013 du 5 juin 2014 consid. 2.3.2 ; 1C_61/2011 du 4 mai 2011 consid. 3.1).</w:t>
      </w:r>
    </w:p>
    <w:p>
      <w:r>
        <w:rPr>
          <w:b/>
        </w:rPr>
        <w:t>E. 6</w:t>
      </w:r>
    </w:p>
    <w:p>
      <w:r>
        <w:t>Le droit d'être entendu ne confère pas le droit à une audition orale, ni celui d'obtenir l'audition de témoins (art. 41 in fine LPA ; ATF 134 I 140 consid. 5.3 ; 130 II 425 consid. 2.1).</w:t>
      </w:r>
    </w:p>
    <w:p>
      <w:r>
        <w:rPr>
          <w:b/>
        </w:rPr>
        <w:t>E. 7</w:t>
      </w:r>
    </w:p>
    <w:p>
      <w:r>
        <w:t>En l'occurrence, le tribunal dispose d’un dossier complet lui permettant de trancher le présent litige en toute connaissance de cause. Procédant à une appréciation anticipée des preuves, il considère que la tenue des auditions proposées ne sera pas de nature à changer sa conviction. Il ne sera dès lors pas donné suite à l’instruction proposée.</w:t>
      </w:r>
    </w:p>
    <w:p>
      <w:r>
        <w:rPr>
          <w:b/>
        </w:rPr>
        <w:t>E. 8</w:t>
      </w:r>
    </w:p>
    <w:p>
      <w:r>
        <w:t>À titre préliminaire, il convient de rappeler que la décision querellée a été prise suite au renvoi de la cause par la chambre administrative au département pour instruction et nouvelle décision. L’instruction devait porter sur la question de</w:t>
      </w:r>
    </w:p>
    <w:p>
      <w:r>
        <w:t>- 13/17 - A/3212/2021 savoir si les travaux à hauteur de CHF 24'943.80 annoncés par la propriétaire avaient été causés par le dégât d’eau, ce qui n’était alors pas démontré (ATA/7______, consid. 6 in fine). Les recourants soutiennent que les travaux entrepris dans l’appartement seraient soumis à la LDTR et auraient dû faire l’objet d’une autorisation de construire.</w:t>
      </w:r>
    </w:p>
    <w:p>
      <w:r>
        <w:rPr>
          <w:b/>
        </w:rPr>
        <w:t>E. 9</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rPr>
          <w:b/>
        </w:rPr>
        <w:t>E. 10</w:t>
      </w:r>
    </w:p>
    <w:p>
      <w:r>
        <w:t>Selon l'art. 3 al. 1 let.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ces derniers, non assujettis à la LDTR, s'entendent des travaux courants qui font partie des frais d'exploitation ordinaires d'une maison d'habitation ; les travaux raisonnables d'entretien régulier ne sont pas considérés comme travaux de transformation, pour autant qu'ils n'engendrent pas une amélioration du confort existant. La distinction entre travaux d'entretien et travaux de transformation peut être délicate à opérer. Le critère de l'accroissement du confort existant est ainsi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(arrêts du Tribunal fédéral 1C_323/2014 du 10 octobre 2014 consid. 7.1.2 et la référence citée ; 1C_624/2013 du 13 février 2014 consid. 2.5). De jurisprudence constante, il est admis, s’agissant de la distinction entre travaux d’entretien et de rénovation (ou transformation) consacrés à l’art. 3 LDTR, de tenir un raisonnement en deux temps, à savoir :  examiner d’abord si, de par leur nature, les travaux en cause relèvent de l’entretien ou, au contraire, consistent en des travaux de rénovation. Dans le prolongement de cette distinction, la jurisprudence a admis que des travaux d’entretien sont susceptibles d’aboutir à une rénovation ou à une transformation soumise à la LDTR en raison d’une incidence directe de</w:t>
      </w:r>
    </w:p>
    <w:p>
      <w:r>
        <w:t>- 14/17 - A/3212/2021 ceux-ci sur le loyer du logement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du 25 septembre 2012 ; ATA/135/2011 du 1er mars 2011 et la jurisprudence citée ; A. MAUNOIR, "La nouvelle LDTR au regard de la jurisprudence", in RDAF 1996 p. 314 et la jurisprudence citée). On parle alors aussi de "travaux d'entretien différé dans le temps" (E. GAIDE/V. DEFAGO GAUDIN, op. cit., ch. 2.5.3 p. 193 et l'arrêt cité). 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(ATA/645/2012 du 25 septembre 2012 ; ATA/646/2010 du 21 septembre 2010 et les références citées). S'agissant du cas d'espèce, il y a lieu de tenir compte du fait qu'un logement correspond en principe par son genre ou par son loyer aux besoins prépondérants de la population lorsque son loyer est compris entre CHF 2'503.- et CHF 3'363.- la pièce par année (Arrêté du Conseil d'État du 21 juin 2006 relatif à la révision des loyers répondant aux besoins prépondérants de la population, publié dans la FAO du 30 juin 2006, auquel renvoie l'art. 6 al. 3 LDTR, en vigueur à l’époque où les travaux ont été entrepris ; cf. ATA/440/2015 du 12 mai 2015 consid. 7),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 cf. ATA/440/2015 du 12 mai 2015 consid. 7), il y avait et a toujours pénurie dans toutes les catégories d'appartements de 1 à 7 pièces inclusivement.</w:t>
      </w:r>
    </w:p>
    <w:p>
      <w:r>
        <w:rPr>
          <w:b/>
        </w:rPr>
        <w:t>E. 11</w:t>
      </w:r>
    </w:p>
    <w:p>
      <w:r>
        <w:t>L'exécution par le bailleur des travaux de remise en état auxquels il est tenu, en vertu des art. 259a et 259b de la loi fédérale complétant le Code civil suisse du 30 mars 1911 - (Livre cinquième : Droit des obligations - CO - RS 220), ne procure en général pas un confort supplémentaire au locataire, par rapport à ce qui est convenu dans le contrat de bail. Il s'agit au contraire de la suppression des défauts graves, soit de ceux qui empêchent ou qui entravent considérablement l'usage pour lequel la chose a été louée, ou des défauts de moyenne importance, soit de</w:t>
      </w:r>
    </w:p>
    <w:p>
      <w:r>
        <w:t>- 15/17 - A/3212/2021 ceux qui restreignent l'usage prévu, mais ne l'entravent pas considérablement. Les remises en état qui vont au-delà de ce qui est nécessaire pour assurer le maintien de la chose louée en l'état tombent en revanche sous le coup de l'art. 3 al. 1 let. d LDTR. De même, le Tribunal fédéral a jugé que l'art. 3 al. 2 LDTR est compatible avec le droit fédéral, dans la mesure où cette disposition complète l'art. 3 al. 1 let. d LDTR en décrivant certains types de travaux qui ne seraient pas soumis à autorisation. L'art. 3 al. 2 LDTR n'a qu'une valeur d'exemple et laisse la place à l'application d'autres critères, comme l'importance des travaux ou l'accroissement du confort existant. Il permet à l'autorité d'application de renoncer à soumettre à autorisation des travaux qui seraient imposés au bailleur en vertu du droit privé, respectant en cela la primauté du droit civil fédéral. En d'autres termes, les travaux d'entretien non assujettis à la LDTR sont ceux que le bailleur est tenu d'effectuer au regard de son obligation d'entretien de la chose louée prescrite par l'art. 256 al. 1 CO.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1C_624/2013 du 13 février 2014 consid. 2.5 ; cf. aussi arrêt 1C_323/2014 du 10 octobre 2014 consid. 7.1.2).</w:t>
      </w:r>
    </w:p>
    <w:p>
      <w:r>
        <w:rPr>
          <w:b/>
        </w:rPr>
        <w:t>E. 12</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w:t>
      </w:r>
    </w:p>
    <w:p>
      <w:r>
        <w:rPr>
          <w:b/>
        </w:rPr>
        <w:t>E. 13</w:t>
      </w:r>
    </w:p>
    <w:p>
      <w:r>
        <w:t>En l’espèce, le département a retenu dans la décision querellée que, au vu des divers documents transmis à l’OCLPF et du préavis de ce dernier du 8 juin 2021, les travaux n’étaient pas soumis à autorisation de construire au motif qu’ils relevaient de l’entretien. À l’instar de l’OCLPF, suivi par le département, le tribunal retient qu’il peut être déduit du rapport de H______ et de son devis estimatif des travaux de peinture établi avant le sinistre qu’une partie des travaux correspondait à des travaux de remise en l’état rendus nécessaires par la survenance d'un dégât d'eau. De surcroît, l’auteur du rapport estimait que l’appartement avait été régulièrement entretenu au niveau des peintures et qu’une rénovation complète n’était pas nécessaire. Le fait pour la régie d’avoir omis d’annoncer le sinistre à la compagnie d’assurance de l’immeuble, bien que cela puisse paraître étonnant pour des professionnels de l’immobilier, ne permet pas de retenir que les explications ci-dessus ne seraient</w:t>
      </w:r>
    </w:p>
    <w:p>
      <w:r>
        <w:t>- 16/17 - A/3212/2021 pas conforme à la réalité. Enfin, il ne ressort pas du dossier que ces travaux auraient dépassé la stricte nécessité de remettre en état l'appartement suite au dégât d’eau afin d'assurer le maintien de la chose louée et que le confort aurait été augmenté dans une mesure notable. Pour déterminer le montant relatif à ces travaux de remise en l’état, la propriétaire a avancé un montant de CHF 24’943.80 comprenant les frais de dépannage WC ainsi que la totalité des frais relatifs à la peinture et au parquet. L’OCLPF a, pour sa part, retenu un montant de CHF 18'657.-, attribuant une partie des frais relatifs à la peinture et au parquet à de l’entretien courant. Le tribunal estime que ce dernier montant peut au minimum être retenu comme correspondant aux travaux de remise en l’état consécutifs au sinistre. Prenant en compte ces éléments, l’OCLPF a retenu que l’ensemble des travaux devait être qualifié de travaux d’entretien non différés dans le temps de par leur nature, leur ampleur et leur coût par pièce. Les recourants ne fournissent aucun élément probant permettant de considérer que cette appréciation serait erronée. Par conséquent, le tribunal retiendra que le département a correctement usé de son pouvoir d’appréciation en retenant que l’ensemble des travaux, composé des travaux de remise en l’état susmentionnés et de travaux relevant de l’entretien courant, sur lesquels il n’y a pas lieu de revenir, correspondaient à des travaux d’entretien et que, de ce fait, ils n’étaient pas soumis à autorisation.</w:t>
      </w:r>
    </w:p>
    <w:p>
      <w:r>
        <w:rPr>
          <w:b/>
        </w:rPr>
        <w:t>E. 14</w:t>
      </w:r>
    </w:p>
    <w:p>
      <w:r>
        <w:t>Entièrement mal fondé, le recours sera rejeté.</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w:t>
      </w:r>
    </w:p>
    <w:p>
      <w:r>
        <w:rPr>
          <w:b/>
        </w:rPr>
        <w:t>E. 16</w:t>
      </w:r>
    </w:p>
    <w:p>
      <w:r>
        <w:t>Vu l’issue du litige, une indemnité de procédure de CHF 1’000.-, à la charge des recourants, pris conjointement et solidairement, sera allouée à D______ Sàrl (art. 87 al. 2 à 4 LPA et 6 RFPA).</w:t>
      </w:r>
    </w:p>
    <w:p>
      <w:r>
        <w:t>- 17/17 - A/3212/2021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