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JTAPI/283/2024 vom 25. März 2024</w:t>
      </w:r>
    </w:p>
    <w:p>
      <w:r>
        <w:t>GE Cour de justice, 2024-03-25, FR</w:t>
      </w:r>
    </w:p>
    <w:p>
      <w:r>
        <w:rPr>
          <w:b/>
        </w:rPr>
        <w:t xml:space="preserve">Quelle: </w:t>
      </w:r>
      <w:r>
        <w:t>https://mcp.opencaselaw.ch/entscheid/ge_gerichte_JTAPI_283_2024</w:t>
      </w:r>
    </w:p>
    <w:p>
      <w:r>
        <w:t>FR: GE_GERICHTE JTAPI/283/2024 du 25 mars 2024</w:t>
      </w:r>
    </w:p>
    <w:p>
      <w:r>
        <w:t>IT: GE_GERICHTE JTAPI/283/2024 del 25 marzo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Il connait également des demandes de prolongation des mesures d'éloignement prononcées par le commissaire de police (art. 11 al. 2 LVD - F 1 30), sur lesquelles il est tenu de statuer avant l'échéance de la mesure, avec un pouvoir d'examen s'étendant à l'opportunité (art. 11 al. 3 LVD).</w:t>
      </w:r>
    </w:p>
    <w:p>
      <w:r>
        <w:rPr>
          <w:b/>
        </w:rPr>
        <w:t>E. 3</w:t>
      </w:r>
    </w:p>
    <w:p>
      <w:r>
        <w:t>En l'espèce, M. A______ a formé opposition à la mesure d'éloignement le 25 mars, alors que Mme B______ a requis la prolongation de la mesure d'éloignement le 28 mars suivant. Déposées en temps utile et dans les formes prescrites devant la juridiction compétente, l'opposition et la demande de prolongation sont recevables au sens de l'art. 11 al. 1 et 2 LVD. Elles seront toutes le deux traitées dans le présent jugement, après jonction des procédures A/1011/2024 et A/1055/2024 y relatives, en application de l'art. 70 al. 1 de la loi sur la procédure administrative du 12 septembre 1985 (LPA - E 5 10).</w:t>
      </w:r>
    </w:p>
    <w:p>
      <w:r>
        <w:rPr>
          <w:b/>
        </w:rPr>
        <w:t>E. 4</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5</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w:t>
      </w:r>
    </w:p>
    <w:p>
      <w:r>
        <w:t>- 12/16 - A/1011/2024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- 13/16 - A/1011/2024</w:t>
      </w:r>
    </w:p>
    <w:p>
      <w:r>
        <w:rPr>
          <w:b/>
        </w:rPr>
        <w:t>E. 6</w:t>
      </w:r>
    </w:p>
    <w:p>
      <w:r>
        <w:t>En l'espèce, même si les déclarations des époux sont contradictoires sur certains aspects, il ressort clairement du dossier qu'il existe suffisamment d'éléments pour retenir la survenance de violences domestiques au sein du couple. On notera à cet égard que les photographies figurant au dossier ne laissent guère planer de doutes à leur sujet. Selon Mme B______, les violences physiques et verbales auraient déjà fait leur apparition en 2023. Elle souhaite désormais mettre un terme à la vie commune et quitter le domicile familial. Quant à M. A______, s'il conteste toute violence, tant verbale que physique de sa part et souhaite poursuivre la relation avec son épouse, il admet que de violentes disputes ont eu lieux, soulignant à ce sujet les nombreuses griffures que lui a faites sa femme. À ce stade, il s'agit pour le tribunal d'examiner si c'est à juste titre que le commissaire de police a prononcé une mesure d'éloignement du domicile familial à l'encontre de M. A______ et lui a en outre fait interdiction de contacter ou de s'approcher de sa femme. En accordant du crédit à ce que déclare chacune des parties, il peut être retenu que des actes de violence physique réciproques ont eu lieu. Les griffures reprochées par M. A______ qui ne sont pas contestées par Mme B______, sont documentées par les photographies figurant au dossier. Quand bien même M. A______ conteste vigoureusement avoir frappé sa femme, les hématomes et ecchymoses constatées et également documentées par des photographies ne laissent toutefois planer que peu de doutes à leur sujet. Cela étant, la question n'est pas de savoir lequel des époux est plus responsable que l'autre de la situation, ce qui est bien souvent impossible à établir. L'essentiel est de séparer les conjoints en étant au moins à peu près certain que celui qui est éloigné du domicile conjugal est lui aussi l'auteur de violences. Dans ces circonstances, vu en particulier le caractère récent des événements, de la situation visiblement conflictuelle et complexe dans laquelle les deux époux se trouvent, de la tension qui entache leurs rapports, la perspective qu'ils se retrouvent immédiatement sous le même toit apparaît inopportune, quand bien même il est évident qu'une mesure d'éloignement administrative ne permettra pas, à elle seule, de régler la situation. 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 A______. Prise pour une durée de onze jours, elle n'apparaît pas disproportionnée. L'opposition à la mesure sera donc rejetée.</w:t>
      </w:r>
    </w:p>
    <w:p>
      <w:r>
        <w:rPr>
          <w:b/>
        </w:rPr>
        <w:t>E. 7</w:t>
      </w:r>
    </w:p>
    <w:p>
      <w:r>
        <w:t>Concernant la demande de prolongation, Mme B______ a répété lors de l'audience qu'elle craignait de nouvelles violences de la part de son mari s'il revenait au domicile conjugal et qu'elle avait très peur de lui. Elle a confirmé qu'elle ne voulait</w:t>
      </w:r>
    </w:p>
    <w:p>
      <w:r>
        <w:t>- 14/16 - A/1011/2024 pas reprendre la vie commune, qu'elle souhaitait désormais quitter le domicile conjugal et disposer de temps pour trouver un nouveau logement. Il est évident que, ne pouvant se fonder que sur le dossier du commissaire de police et les déclarations recueillies à l'audience, le tribunal n'a qu'une vision très partielle de la situation et du fonctionnement du couple, ainsi que des difficultés qu'il a rencontrées jusqu'ici, s'agissant notamment des circonstances et des éléments déclencheurs ayant conduit à la survenance des divers actes de violence domestique relatés. Il sera en outre rappelé que la mesure d'éloignement a pour objectif d'empêcher la réitération d'actes de violence, mais non de permettre aux personnes concernées de s'organiser pour modifier le cadre et les modalités de leur relation personnelle. Cela étant, le tribunal a acquis la conviction que le risque de réitération de violences, ne seraient-ce que psychologiques, ne peut être actuellement exclu. En effet, l'écoulement de quatre jours depuis la survenance des derniers actes de violence ne suffit pas pour écarter le risque que de nouveaux actes, quelle que soit leur nature, se reproduisent, si les époux devaient se retrouver sous le même toit dès la fin de la mesure prononcée. Il apparait en particulier que M. A______ ne semble pas avoir pris la mesure de la situation, ses dénégations concernant les faits dénoncés par sa femme suivies des accusations portées contre celle-ci, les explications qu'il a données à l'audience relatives à son souhait de se faire pardonner et de persuader sa femme de continuer leur vie commune, révèlent le déni dans lequel il semble se trouver concernant la crise que vit le couple et il n'est dès lors pas possible de faire autrement que de retenir qu'il est également dans le déni de la peur qu'il inspire à son épouse. Ses engagements à l’audience de ce jour de diminuer sa consommation d'alcool et de suivre la thérapie qui pourrait lui être proposée lors de son entretien, tout en niant paradoxalement avoir un problème d'addiction, ne peuvent suffire, aux yeux du tribunal, pour envisager un retour dans un futur proche au domicile conjugal. Il n'a d'ailleurs pas encore participé à l'entretien socio-thérapeutique et juridique tel qu'ordonné dans la mesure du 25 mars 2024. De plus, l'écoulement de quatre jours depuis la survenance des derniers actes de violence ne suffit pas pour écarter le risque que de nouveaux actes, quelle que soit leur nature, se reproduisent, si les époux devaient se retrouver sous le même toit dès la fin de la mesure prononcée. Cette éventualité apparaît ainsi suffisamment réelle et concrète pour justifier que les époux demeurent éloignés pendant un temps encore, ce qui tend à admettre le bien-fondé de la demande de prolongation formulée par Mme B______. Compte tenu toutefois des obligations que M. A______ a envers sa fille, à savoir d'en assumer la garde une semaine sur deux et l'intention exprimée par Mme B______ de quitter le domicile conjugal rapidement, la mesure ne sera prolongée que pour une durée de vingt jours.</w:t>
      </w:r>
    </w:p>
    <w:p>
      <w:r>
        <w:t>- 15/16 - A/1011/2024 Si cette prolongation, qui apparaît utile, nécessaire et opportune, comporte à l'évidence des désagréments pour M. A______, l'atteinte à sa liberté personnelle en résultant demeure acceptable, étant observé qu'aucune autre mesure moins incisive ne serait envisageable pour atteindre le but fixé par la LVD (cf. ATA/619/2020 du 23 juin 2020 consid. 9 ; ATA/527/2020 du 26 mai 2020 consid. 10). Cette prolongation le sera sous la menace de l'art. 292 CP, dont la teneur figure ci-dessus. Elle prendra donc fin le 24 avril 2024 à 17h00.</w:t>
      </w:r>
    </w:p>
    <w:p>
      <w:r>
        <w:rPr>
          <w:b/>
        </w:rPr>
        <w:t>E. 8</w:t>
      </w:r>
    </w:p>
    <w:p>
      <w:r>
        <w:t>Enfin, il sera rappelé que M. A______ pourra, le cas échéant, venir chercher dans l'appartement conjugal, ses effets personnels, à une date préalablement convenue par les parties et accompagné de la police.</w:t>
      </w:r>
    </w:p>
    <w:p>
      <w:r>
        <w:rPr>
          <w:b/>
        </w:rPr>
        <w:t>E. 9</w:t>
      </w:r>
    </w:p>
    <w:p>
      <w:r>
        <w:t>Il ne sera pas perçu d'émolument ni alloué d’indemnité (art. 87 al. 1 LPA).</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- 16/16 - A/1011/2024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