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JTAPI/282/2024 vom 28. März 2024</w:t>
      </w:r>
    </w:p>
    <w:p>
      <w:r>
        <w:t>GE Cour de justice, 2024-03-28, FR</w:t>
      </w:r>
    </w:p>
    <w:p>
      <w:r>
        <w:rPr>
          <w:b/>
        </w:rPr>
        <w:t xml:space="preserve">Quelle: </w:t>
      </w:r>
      <w:r>
        <w:t>https://mcp.opencaselaw.ch/entscheid/ge_gerichte_JTAPI_282_2024</w:t>
      </w:r>
    </w:p>
    <w:p>
      <w:r>
        <w:t>FR: GE_GERICHTE JTAPI/282/2024 du 28 mars 2024</w:t>
      </w:r>
    </w:p>
    <w:p>
      <w:r>
        <w:t>IT: GE_GERICHTE JTAPI/282/2024 del 28 marzo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27 mars 2024 à 13h45, comme l’indique le procès-verbal d’audition (cf. à cet égard arrêts du Tribunal fédéral 2C_618/2011 du 1er septembre 2011 consid. 2 ; 2C_206/2009 du 29 avril 2009 consid. 5.1.1 et les références citées).</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puisqu'un vol à destination de la Belgique a été confirmé pour le 4 avril 2024 à 08h35 au départ de Genève.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t>- 5/7 - A/1051/2024</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Selon l’art. 76 al. 1 let. b ch. 1 LEI, renvoyant à l’art. 75 al. 1 let. h de cette même loi une mesure de détention administrative peut être ordonnée si une décision de renvoi ou d’expulsion a été notifiée à l’intéressé et que celui-ci a été condamné pour crime.</w:t>
      </w:r>
    </w:p>
    <w:p>
      <w:r>
        <w:rPr>
          <w:b/>
        </w:rPr>
        <w:t>E. 9</w:t>
      </w:r>
    </w:p>
    <w:p>
      <w:r>
        <w:t>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w:t>
      </w:r>
    </w:p>
    <w:p>
      <w:r>
        <w:rPr>
          <w:b/>
        </w:rPr>
        <w:t>E. 10</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11</w:t>
      </w:r>
    </w:p>
    <w:p>
      <w:r>
        <w:t>En l'espèce, M. A______ a fait l'objet d'une mesure d'expulsion de Suisse pour une durée de cinq ans prononcée le 20 mars 2024 par le Tribunal de police. Il a par ailleurs été condamné par ce dernier pour infraction grave à la LStup (art 19 al. 2 LStup), laquelle est constitutive d'un crime, au sens de l'art. 10 al. 2 CP. Sa détention administrative est ainsi justifiée sur la base des art. 76 al. 1 let. b ch. 1 et 75 al. 1 let. h LEI, sans qu’il soit nécessaire d’examiner si elle pourrait l’être également en application de l’art. 76 al. 1 let. b ch. 3 et 4 LEI.</w:t>
      </w:r>
    </w:p>
    <w:p>
      <w:r>
        <w:t>- 6/7 - A/1051/2024 L’assurance de son départ de Suisse répond en outre à un intérêt public certain et toute autre mesure moins incisive que la détention administrative serait vaine pour assurer sa présence au moment où il devra monter à bord de l’avion devant le refouler, étant relevé qu'il ne dispose d'aucune famille ni attache particulière avec la Suisse et qu'il est à la charge de l'Hospice général. Dans son principe, sa mise en détention respecte donc aussi le principe de la proportionnalité.</w:t>
      </w:r>
    </w:p>
    <w:p>
      <w:r>
        <w:rPr>
          <w:b/>
        </w:rPr>
        <w:t>E. 12</w:t>
      </w:r>
    </w:p>
    <w:p>
      <w:r>
        <w:t>Les démarches nécessaires à l’exécution du renvoi doivent être entreprises sans tarder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13</w:t>
      </w:r>
    </w:p>
    <w:p>
      <w:r>
        <w:t>En l'espèce, l'autorité chargée du renvoi a agi avec diligence et célérité, dès lors qu'elle a immédiatement procédé aux démarches nécessaires en vue de la réadmission de M. A______, laquelle pourra avoir lieu par vol du 4 avril 2024 déjà.</w:t>
      </w:r>
    </w:p>
    <w:p>
      <w:r>
        <w:rPr>
          <w:b/>
        </w:rPr>
        <w:t>E. 14</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15</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16</w:t>
      </w:r>
    </w:p>
    <w:p>
      <w:r>
        <w:t>En l'espèce, eu égard à l'ensemble des circonstances, il y a lieu de confirmer l'ordre de mise en détention administrative pour une durée d'un mois, qui respecte en soi l'art. 79 al. 1 LEI et n'apparaît pas disproportionnée. 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4 avril 2024 au plus tard, si l'exécution du renvoi s'est concrétisée ou non.</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A/1051/2024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