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JTAPI/280/2021 vom 13. November 2012</w:t>
      </w:r>
    </w:p>
    <w:p>
      <w:r>
        <w:t>GE Cour de justice, 2012-11-13, FR</w:t>
      </w:r>
    </w:p>
    <w:p>
      <w:r>
        <w:rPr>
          <w:b/>
        </w:rPr>
        <w:t xml:space="preserve">Quelle: </w:t>
      </w:r>
      <w:r>
        <w:t>https://mcp.opencaselaw.ch/entscheid/ge_gerichte_JTAPI_280_2021</w:t>
      </w:r>
    </w:p>
    <w:p>
      <w:r>
        <w:t>FR: GE_GERICHTE JTAPI/280/2021 du 13 novembre 2012</w:t>
      </w:r>
    </w:p>
    <w:p>
      <w:r>
        <w:t>IT: GE_GERICHTE JTAPI/280/2021 del 13 novembre 2012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mandataire des recourants demande d’être entendu verbalement par le tribunal.</w:t>
      </w:r>
    </w:p>
    <w:p>
      <w:r>
        <w:rPr>
          <w:b/>
        </w:rPr>
        <w:t>E. 4</w:t>
      </w:r>
    </w:p>
    <w:p>
      <w:r>
        <w:t>L'art. 41 de la loi sur la procédure administrative du 12 septembre 1985 (LPA - E</w:t>
      </w:r>
    </w:p>
    <w:p>
      <w:r>
        <w:rPr>
          <w:b/>
        </w:rPr>
        <w:t>E. 5</w:t>
      </w:r>
    </w:p>
    <w:p>
      <w:r>
        <w:t>Selon la jurisprudence (arrêt du Tribunal fédéral 2C_1128/2015 du 27 mars 2017 consid. 4.1 et les réf.),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w:t>
      </w:r>
    </w:p>
    <w:p>
      <w:r>
        <w:rPr>
          <w:b/>
        </w:rPr>
        <w:t>E. 6</w:t>
      </w:r>
    </w:p>
    <w:p>
      <w:r>
        <w:t>En l’espèce, le litige concerne une pure question juridique, à savoir le calcul du résultat (bénéfice ou perte) de liquidation du restaurant des recourants. Par ailleurs, le tribunal dispose de tous les éléments nécessaires pour statuer. En conséquence, il ne donnera pas une suite favorable à la demande de comparution personnelle de leur mandataire, laquelle n’est quoi qu’il en soit pas obligatoire.</w:t>
      </w:r>
    </w:p>
    <w:p>
      <w:r>
        <w:rPr>
          <w:b/>
        </w:rPr>
        <w:t>E. 7</w:t>
      </w:r>
    </w:p>
    <w:p>
      <w:r>
        <w:t>Les contribuables demandent d’être taxés compte sur la base d’une perte de CHF 50'000.- encourue lors de la remise de leur restaurant. Subsidiairement, ils requièrent que leurs taxations des années 2013 à 2017 soient corrigées en tenant compte de l’amortissement du goodwill.</w:t>
      </w:r>
    </w:p>
    <w:p>
      <w:r>
        <w:t>- 6/9 - A/2723/2020</w:t>
      </w:r>
    </w:p>
    <w:p>
      <w:r>
        <w:rPr>
          <w:b/>
        </w:rPr>
        <w:t>E. 8</w:t>
      </w:r>
    </w:p>
    <w:p>
      <w:r>
        <w:t>Sont imposables tous les revenus provenant de l’exploitation d’une entreprise commerciale, industrielle, artisanale, agricole ou sylvicole, de l’exercice d’une profession libérale ou de toute autre activité lucrative indépendante (art. 18 al. 1 LIFD ; art. 19 al. 1 de la loi sur l'imposition des personnes physiques du 27 septembre 2009 - LIPP - D 3 08).</w:t>
      </w:r>
    </w:p>
    <w:p>
      <w:r>
        <w:rPr>
          <w:b/>
        </w:rPr>
        <w:t>E. 9</w:t>
      </w:r>
    </w:p>
    <w:p>
      <w:r>
        <w:t>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Dès lors qu'un contribuable choisi de tenir sa comptabilité selon le principe de l'encaissement, seules peuvent être déduites les charges effectivement payées lors de la période fiscale déterminante. L'application d'un système hybride qui mêle facturation et encaissement est non seulement en contradiction avec cette méthode comptable mais également contraire aux principes susvisés (ATA/1019/2015 du 29 septembre 2015 consid. 5 ; ATA/517/2010 du 3 août 2010 consid. 4a ; JTAPI/676/2014 du 13 juin 2014 consid. 5).</w:t>
      </w:r>
    </w:p>
    <w:p>
      <w:r>
        <w:rPr>
          <w:b/>
        </w:rPr>
        <w:t>E. 10</w:t>
      </w:r>
    </w:p>
    <w:p>
      <w:r>
        <w:t>Selon la jurisprudence (arrêts du Tribunal fédéral 2C_499/2011 du 9 juillet 2012 consid. 5.3 ; 2P.177/2004 du 17 octobre 2005 consid. 5.2 et les références citées), le goodwill est la valeur immatérielle d'un commerce et correspond notamment aux possibilités de bénéfices futurs. Il dépend notamment des relations d’une entreprise, de sa renommée, de sa clientèle, de son emplacement ainsi que de sa bonne organisation technique et commerciale. Le goodwill acquis à titre onéreux peut être porté à l’actif du bilan, à son prix d’acquisition. Ce poste sera toutefois amorti aussi vite que possible, en général sur cinq ans, car il n’est pas certain que l’acquéreur puisse le conserver, de sorte que cet actif a économiquement un caractère éphémère (ATA/1833/2019 du 17 décembre 2019 consid. 5c ; Robert DANON, in Yves NOËL, Florence AUBRY GIRARDIN, Commentaire romand de la loi fédérale sur l’impôt fédéral direct, 2ème édition, 2017, art. 57-58, § 44, p. 1064).</w:t>
      </w:r>
    </w:p>
    <w:p>
      <w:r>
        <w:rPr>
          <w:b/>
        </w:rPr>
        <w:t>E. 11</w:t>
      </w:r>
    </w:p>
    <w:p>
      <w:r>
        <w:t>La vente d'un fonds de commerce constitue une aliénation d'éléments de la fortune commerciale. L'éventuel bénéfice en capital réalisé sur cette vente constitue un revenu imposable de l’activité lucrative indépendante. Dans le cas de la vente d'un bien ou d'un ensemble de biens faisant partie de la fortune commerciale, lorsque la contrepartie reçue - en général une somme d'argent - dépasse la valeur comptable de l'objet aliéné, la différence constitue le bénéfice en capital réalisé par</w:t>
      </w:r>
    </w:p>
    <w:p>
      <w:r>
        <w:t>- 7/9 - A/2723/2020 l'aliénateur. Le bénéfice imposable est ainsi constitué du prix de vente moins la valeur comptable des actifs vendus (Yves NOËL, in Yves NOËL, Florence AUBRY GIRARDIN op. cit, art. 18, § 48-49, p. 252-253 ; Xavier OBERSON, Droit fiscal suisse, 5ème édition, 2021, p. 139, § 90).</w:t>
      </w:r>
    </w:p>
    <w:p>
      <w:r>
        <w:rPr>
          <w:b/>
        </w:rPr>
        <w:t>E. 12</w:t>
      </w:r>
    </w:p>
    <w:p>
      <w:r>
        <w:t>Selon la jurisprudence (arrêt du Tribunal fédéral 2C_550/2016 du 8 mars 2017 consid. 4.1 et les réf.),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il prohibe, d'autre part, une surimposition d'un petit groupe de contribuables.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w:t>
      </w:r>
    </w:p>
    <w:p>
      <w:r>
        <w:rPr>
          <w:b/>
        </w:rPr>
        <w:t>E. 13</w:t>
      </w:r>
    </w:p>
    <w:p>
      <w:r>
        <w:t>En l’espèce, les recourants font valoir que leur précédent mandataire a omis de comptabiliser le goodwill. Ne disposant d’aucune connaissance en la matière, ils n’ont pas été en mesure de s’en rendre compte. Enfin, s’ils étaient taxés sur un bénéfice de CHF 196'312.-, alors qu’ils ont subi une perte de CHF 50'000.-, le principe de l’imposition selon la capacité contributive serait enfreint.</w:t>
      </w:r>
    </w:p>
    <w:p>
      <w:r>
        <w:rPr>
          <w:b/>
        </w:rPr>
        <w:t>E. 14</w:t>
      </w:r>
    </w:p>
    <w:p>
      <w:r>
        <w:t>En raison du fait qu’ils tiennent une comptabilité selon le principe de l’encaissement – décaissement, la question du bénéfice ou de la perte réalisée consécutivement à la cession du restaurant se pose à l’égard de leur taxation 2018. En effet, ainsi qu’il résulte des relevés de compte qu’ils ont transmis à l’AFC-GE le 6 mars 2020, c’est en 2018 qu’ils ont perçu le montant résultant de la vente de leur restaurant, à savoir CHF 17'000.- de la part de E______ SA et CHF 180'000.- de la part de l’acquéreur, soit au total CHF 197'000.-. Ainsi, c’est ce dernier montant qui constitue le prix de vente et non CHF 200'000.-, comme l’a retenu l’autorité intimée. Il importe peu que, comme le soutiennent les recourants, leur précédent mandataire aurait omis de comptabiliser le goodwill en 2012. En effet, même si ce comptable avait enregistré le goodwill, celui-ci aurait de toute manière dû être amorti sur cinq ans, si bien qu’il aurait perdu toute valeur au moment de la cession du restaurant. Dès lors, pour le calcul du résultat de la cession, c’est à juste titre que l’autorité intimée l’a retenu pour CHF 1.- dans la valeur comptable de l’établissement. La valeur des machines et des appareils de production a été chiffrée par les recourants eux-mêmes à CHF 3'687.- et ces éléments font partie de l’entreprise cédée.</w:t>
      </w:r>
    </w:p>
    <w:p>
      <w:r>
        <w:t>- 8/9 - A/2723/2020 Le résultat découlant de la cession du restaurant s’élève ainsi à CHF 193'312.- (CHF 197'000.- – CHF 1.- – CHF 3'687.-), au lieu de CHF 196'312.- retenu par l’AFC-GE. Contrairement à ce que prétendent les recourants, cette solution ne se révèle pas contraire au principe de l’imposition selon la capacité contributive. En effet, elle découle du fait qu’en matière commerciale, le résultat – bénéfice ou perte – se détermine en retranchant du prix d’aliénation, la valeur comptable du bien aliéné et non pas son prix d’acquisition (cf. consid. 11 supra). Enfin, la conclusion subsidiaire des précités tendant à ce que leurs taxations 2013 à 2017 soient corrigées pour tenir compte de l’amortissement du goodwill, doit être déclarée irrecevable, car exorbitante de l’issue du présent litige. Celui-ci ne porte, en effet, que sur leur imposition 2018.</w:t>
      </w:r>
    </w:p>
    <w:p>
      <w:r>
        <w:rPr>
          <w:b/>
        </w:rPr>
        <w:t>E. 15</w:t>
      </w:r>
    </w:p>
    <w:p>
      <w:r>
        <w:t>Au vu de ce qui précède, le recours doit être admis partiellement et le dossier renvoyé à l’AFC-GE pour nouvelles taxations.</w:t>
      </w:r>
    </w:p>
    <w:p>
      <w:r>
        <w:rPr>
          <w:b/>
        </w:rPr>
        <w:t>E. 16</w:t>
      </w:r>
    </w:p>
    <w:p>
      <w:r>
        <w:t>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réduit s'élevant à CHF 300.- ; il est couvert par l’avance de frais versée à la suite du dépôt du recours. Le solde de l’avance de frais de CHF 400.-, versé à la suite du dépôt du recours, leur sera restitué. Aucune indemnité de procédure ne leur sera allouée, dès lors qu’ils n’y ont pas conclu (art. 87 al. 2 LPA a contrario).</w:t>
      </w:r>
    </w:p>
    <w:p>
      <w:r>
        <w:t>- 9/9 - A/2723/2020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