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JTAPI/27/2025 vom 7. Januar 2025</w:t>
      </w:r>
    </w:p>
    <w:p>
      <w:r>
        <w:t>GE Cour de justice, 2025-01-07, FR</w:t>
      </w:r>
    </w:p>
    <w:p>
      <w:r>
        <w:rPr>
          <w:b/>
        </w:rPr>
        <w:t xml:space="preserve">Quelle: </w:t>
      </w:r>
      <w:r>
        <w:t>https://mcp.opencaselaw.ch/entscheid/ge_gerichte_JTAPI_27_2025</w:t>
      </w:r>
    </w:p>
    <w:p>
      <w:r>
        <w:t>FR: GE_GERICHTE JTAPI/27/2025 du 7 janvier 2025</w:t>
      </w:r>
    </w:p>
    <w:p>
      <w:r>
        <w:t>IT: GE_GERICHTE JTAPI/27/2025 del 7 gennaio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Contrairement à l’art. 11 al. 2 LVD qui stipule que toute personne directement touchée par la mesure d’éloignement a le droit d’en solliciter la prolongation auprès du tribunal administratif de première instance, l’art. 11 al. 1 LVD indique uniquement que c’est la personne éloignée qui peut s’opposer à la mesure d’éloignement dans un délai de 6 jours dès sa notification, par simple déclaration écrite adressée au tribunal.</w:t>
      </w:r>
    </w:p>
    <w:p>
      <w:r>
        <w:rPr>
          <w:b/>
        </w:rPr>
        <w:t>E. 3</w:t>
      </w:r>
    </w:p>
    <w:p>
      <w:r>
        <w:t>Cela étant, aux termes de l’art. 60 al. 1 let. b de la loi sur la procédure administrative du 12 septembre 1985 (LPA-GE - E 5 10), a qualité pour recourir toute personne</w:t>
      </w:r>
    </w:p>
    <w:p>
      <w:r>
        <w:t>- 6/10 - A/65/2025 touchée directement par une décision et qui a un intérêt personnel digne de protection à ce qu’elle soit annulée ou modifiée.</w:t>
      </w:r>
    </w:p>
    <w:p>
      <w:r>
        <w:rPr>
          <w:b/>
        </w:rPr>
        <w:t>E. 4</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w:t>
      </w:r>
    </w:p>
    <w:p>
      <w:r>
        <w:rPr>
          <w:b/>
        </w:rPr>
        <w:t>E. 5</w:t>
      </w:r>
    </w:p>
    <w:p>
      <w:r>
        <w:t>Un intérêt digne de protection suppose un intérêt actuel à obtenir l’annulation de la décision attaquée (ATF 138 II 42 consid. 1 ; 137 I 23 consid. 1.3 ; arrêts du Tribunal fédéral 2C_892/2011 du 17 mars 2012 consid. 1.2 ; 1B_201/2010 du 1er juillet 2010 consid. 2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w:t>
      </w:r>
    </w:p>
    <w:p>
      <w:r>
        <w:rPr>
          <w:b/>
        </w:rPr>
        <w:t>E. 6</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7</w:t>
      </w:r>
    </w:p>
    <w:p>
      <w:r>
        <w:t>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w:t>
      </w:r>
    </w:p>
    <w:p>
      <w:r>
        <w:t>- 7/10 - A/65/2025</w:t>
      </w:r>
    </w:p>
    <w:p>
      <w:r>
        <w:rPr>
          <w:b/>
        </w:rPr>
        <w:t>E. 8</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LPA.</w:t>
      </w:r>
    </w:p>
    <w:p>
      <w:r>
        <w:rPr>
          <w:b/>
        </w:rPr>
        <w:t>E. 9</w:t>
      </w:r>
    </w:p>
    <w:p>
      <w:r>
        <w:t>En l’espèce, la question de savoir si Mme B______ peut s’opposer à la mesure d’éloignement prononcée à l’encontre de M. A______ souffrira de rester ouverte étant cependant relevé que cette possibilité ne ressort pas de la lettre claire de l’art.</w:t>
      </w:r>
    </w:p>
    <w:p>
      <w:r>
        <w:rPr>
          <w:b/>
        </w:rPr>
        <w:t>E. 11</w:t>
      </w:r>
    </w:p>
    <w:p>
      <w:r>
        <w:t>al. 3 LVD).</w:t>
      </w:r>
    </w:p>
    <w:p>
      <w:r>
        <w:rPr>
          <w:b/>
        </w:rPr>
        <w:t>E. 12</w:t>
      </w:r>
    </w:p>
    <w:p>
      <w:r>
        <w:t>En l'espèce, même si les déclarations des époux sont contradictoires sur certains aspects, le tribunal retiendra que les déclarations de Mme B______ au sujet des violences psychiques et physiques subies de la part de son mari lors qu’il est alcoolisé sont crédibles. Il ressort en particulier de ces dernières que le 6 janvier 2025 son époux, en état d’ébriété, l’a saisie par la gorge, lui a mis des claques derrière la tête et l'a injuriée. De tels comportements correspondent sans conteste à la notion de violence domestique, au sens défini plus haut. L’intéressée a pour le surplus confirmé en audience être victime de violences conjugales, précisant que ces dernières étaient liées à la consommation d’alcool de M. A______. Lorsque ce dernier ne buvait pas, cela se passait bien. Elle aimait son mari qui était une personne formidable lorsqu'il ne buvait pas trop. Cela étant, sur question du commissaire de police, les intéressés ont indiqué qu’ils avaient continué à se voir à l’extérieur du domicile depuis le prononcé de la mesure d’éloignement car le procureur leur avait indiqué que cela était possible. A cet égard, Mme B______ a expliqué qu’à l'extérieur du domicile familial il y avait moins de tensions. Elle a pour le surplus réitéré l’importance du voyage prévu en Tunisie, expliquant que l’année 2024 avait été très difficile, qu’elle et son mari souhaitaient tout mettre en œuvre afin de sauver leur mariage, et que leurs vacances en Tunisie afin de rendre visite à la famille de M. A______, qu’elle considérait comme la sienne, leur permettraient de tourner la page.</w:t>
      </w:r>
    </w:p>
    <w:p>
      <w:r>
        <w:t>Au vu de ce qui précède, étant rappelé que les mesures d'éloignement n'impliquent pas un degré de preuve, mais une présomption suffisante des violences et de la personne de leur auteur, le tribunal entend confirmer sur le principe la mesure d'éloignement prononcée à l'égard de M. A______. En effet, il apparaît que le retour de ce dernier au domicile familial est pour le moment contre-indiqué. Cela étant, dans la mesure où il apparait que les intéressés ont continué à se voir en dehors du domicile conjugal depuis le prononcé de la mesure, avec l’accord du procureur, de leur plein gré, que Mme B______ a expliqué qu’il y avait moins de tensions qu'à la maison et qu’ils indiquent tous deux souhaiter poursuivre leur relation, vouloir</w:t>
      </w:r>
    </w:p>
    <w:p>
      <w:r>
        <w:t>- 9/10 - A/65/2025 donner une chance à leur mariage et que leurs vacances en Tunisie, chez la famille de M. A______, sont programmées de longue date afin de tourner la page sur une année 2024 difficile, il n’apparait pas qu’il existe un risque de réitération des violence si les époux devaient être autorisés à séjourner ensemble durant deux semaines en Tunisie auprès de la famille de M. A______. Au contraire, ces vacances apparaissent comme une opportunité qui leur permettra de discuter du futur de leur relation et de tenter de régler ce qui doit l’être. Dans ces circonstances, faisant usage de son pouvoir en opportunité (art. 11 al. 3 LVD), le tribunal confirmera la mesure d’éloignement de trente jours prononcée à l’encontre de M. A______ en ce qu’elle lui fait interdiction de pénétrer à l'adresse privée de Mme B______ située ______[GE] et de contacter ou de s’approcher des mineurs C______ et D______ mais la lèvera pour le surplus, permettant ainsi aux intéressés de continuer d’avoir des contacts en dehors du domicile conjugal.</w:t>
      </w:r>
    </w:p>
    <w:p>
      <w:r>
        <w:rPr>
          <w:b/>
        </w:rPr>
        <w:t>E. 13</w:t>
      </w:r>
    </w:p>
    <w:p>
      <w:r>
        <w:t>Il ne sera pas perçu d'émolument (art. 87 al. 1 LPA).</w:t>
      </w:r>
    </w:p>
    <w:p>
      <w:r>
        <w:rPr>
          <w:b/>
        </w:rPr>
        <w:t>E. 14</w:t>
      </w:r>
    </w:p>
    <w:p>
      <w:r>
        <w:t>Un éventuel recours déposé contre le présent jugement n'aura pas d'effet suspensif (art. 11 al. 1 LVD ; rapport rendu le 1er juin 2010 par la commission judiciaire et de la police chargée d'étudier le PL 10582, p. 17).</w:t>
      </w:r>
    </w:p>
    <w:p>
      <w:r>
        <w:t>- 10/10 - A/65/2025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