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JTAPI/27/2024 vom 15. Januar 2024</w:t>
      </w:r>
    </w:p>
    <w:p>
      <w:r>
        <w:t>GE Cour de justice, 2024-01-15, FR</w:t>
      </w:r>
    </w:p>
    <w:p>
      <w:r>
        <w:rPr>
          <w:b/>
        </w:rPr>
        <w:t xml:space="preserve">Quelle: </w:t>
      </w:r>
      <w:r>
        <w:t>https://mcp.opencaselaw.ch/entscheid/ge_gerichte_JTAPI_27_2024</w:t>
      </w:r>
    </w:p>
    <w:p>
      <w:r>
        <w:t>FR: GE_GERICHTE JTAPI/27/2024 du 15 janvier 2024</w:t>
      </w:r>
    </w:p>
    <w:p>
      <w:r>
        <w:t>IT: GE_GERICHTE JTAPI/27/2024 del 15 gennaio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12 janvier 2024 à 13h15.</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w:t>
      </w:r>
    </w:p>
    <w:p>
      <w:r>
        <w:t>- 8/10 - A/120/2024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t>- 7/10 - A/120/2024</w:t>
      </w:r>
    </w:p>
    <w:p>
      <w:r>
        <w:rPr>
          <w:b/>
        </w:rPr>
        <w:t>E. 5</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6</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8</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9</w:t>
      </w:r>
    </w:p>
    <w:p>
      <w:r>
        <w:t>En l’espèce, M. A______ fait l’objet d’une décision de renvoi prononcée par l’OCPM le 12 janvier 2024. Par ailleurs, il est revenu en Suisse malgré l’interdiction d’entrée en Suisse dont il fait l’objet depuis le 22 février 2023, date de la décision de fedpol, et ce pour une durée de 10 ans. Même si M. A______ indique ne plus avoir de document et ignorer faire l’objet de cette interdiction, force est de constater qu’il en a été fait état lors de la précédente procédure devant le tribunal et que ladite décision est en force, faute d’avoir fait l’objet d’un recours, voire d’une procédure tendant à conclure à sa nullité. Sans attache ni lieu de résidence en Suisse, le risque que M. A______ se soustraie à son renvoi en disparaissant dans la clandestinité ne peut être écarté. Les conditions d’une détention administratives sont donc remplies. L’assurance de son départ de Suisse répond par ailleurs à un intérêt public certain et toute autre mesure moins incisive que la détention administrative serait vaine pour assurer sa présence au moment où il devra être renvoyé.</w:t>
      </w:r>
    </w:p>
    <w:p>
      <w:r>
        <w:rPr>
          <w:b/>
        </w:rPr>
        <w:t>E. 10</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- 9/10 - A/120/2024</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l'espèce, l'autorité chargée du renvoi a agi avec diligence et célérité, dès lors qu'elle a immédiatement entrepris les démarches en vue de procéder au renvoi de l’intéressé, en demandant dans un premier temps un rapport médical afin de s’assurer de son état de santé et pouvoir ensuite procéder aux réservations utiles en vue de procéder au renvoi effectif.</w:t>
      </w:r>
    </w:p>
    <w:p>
      <w:r>
        <w:rPr>
          <w:b/>
        </w:rPr>
        <w:t>E. 13</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14</w:t>
      </w:r>
    </w:p>
    <w:p>
      <w:r>
        <w:t>En l'espèce, eu égard à l'ensemble des circonstances, il y a lieu de confirmer l'ordre de mise en détention administrative pour une durée de trois semaines, qui respecte en soi l'art. 79 LEI et n'apparaît pas disproportionnée, étant rappelé que la détention prendra fin au moment du renvoi mais que si, pour une raison ou une autre, ce renvoi devait échouer, la durée permettra aux autorités d’entamer de nouvelles démarches - notamment si une place sur un vol de degré supérieur devait être réservée - et, cas échéant de solliciter la prolongation de la détention.</w:t>
      </w:r>
    </w:p>
    <w:p>
      <w:r>
        <w:rPr>
          <w:b/>
        </w:rPr>
        <w:t>E. 15</w:t>
      </w:r>
    </w:p>
    <w:p>
      <w:r>
        <w:t>Au vu de ce qui précède, il y a lieu de confirmer l'ordre de mise en détention administrative de M. A______ pour une durée d’un mois.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A/120/2024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