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JTAPI/278/2022 vom 16. Juni 1964</w:t>
      </w:r>
    </w:p>
    <w:p>
      <w:r>
        <w:t>GE Cour de justice, 1964-06-16, FR</w:t>
      </w:r>
    </w:p>
    <w:p>
      <w:r>
        <w:rPr>
          <w:b/>
        </w:rPr>
        <w:t xml:space="preserve">Quelle: </w:t>
      </w:r>
      <w:r>
        <w:t>https://mcp.opencaselaw.ch/entscheid/ge_gerichte_JTAPI_278_2022</w:t>
      </w:r>
    </w:p>
    <w:p>
      <w:r>
        <w:t>FR: GE_GERICHTE JTAPI/278/2022 du 16 juin 1964</w:t>
      </w:r>
    </w:p>
    <w:p>
      <w:r>
        <w:t>IT: GE_GERICHTE JTAPI/278/2022 del 16 giugno 1964</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- 8/15 - A/1825/2021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(ATA/1024/2020 du 13 octobre 2020 consid. 1 et les références citées).</w:t>
      </w:r>
    </w:p>
    <w:p>
      <w:r>
        <w:rPr>
          <w:b/>
        </w:rPr>
        <w:t>E. 5</w:t>
      </w:r>
    </w:p>
    <w:p>
      <w:r>
        <w:t>La recourante sollicite à titre de preuve dans le corps de son recours, l’audition du gérant de l’hôtel, sans y conclure formellement dans la partie en droit.</w:t>
      </w:r>
    </w:p>
    <w:p>
      <w:r>
        <w:rPr>
          <w:b/>
        </w:rPr>
        <w:t>E. 6</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w:t>
      </w:r>
    </w:p>
    <w:p>
      <w:r>
        <w:rPr>
          <w:b/>
        </w:rPr>
        <w:t>E. 7</w:t>
      </w:r>
    </w:p>
    <w:p>
      <w:r>
        <w:t>Le droit d'être entendu comprend également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8</w:t>
      </w:r>
    </w:p>
    <w:p>
      <w:r>
        <w:t>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w:t>
      </w:r>
    </w:p>
    <w:p>
      <w:r>
        <w:t>- 9/15 - A/1825/2021</w:t>
      </w:r>
    </w:p>
    <w:p>
      <w:r>
        <w:rPr>
          <w:b/>
        </w:rPr>
        <w:t>E. 9</w:t>
      </w:r>
    </w:p>
    <w:p>
      <w:r>
        <w:t>En l’espèce, le tribunal estime que le dossier contient les éléments suffisants et nécessaires pour statuer sur le litige, notamment grâce aux pièces qui y figurent, sans qu’il se justifie de procéder à l’audition requise par la recourante à titre de preuve dans le cadre de son recours, cet acte d’instruction, en soi non obligatoire, ne s’avérant pas nécessaire pour apprécier la situation et établir les faits pertinents. Partant, il ne sera pas donné suite à la mesure d’instruction sollicitée.</w:t>
      </w:r>
    </w:p>
    <w:p>
      <w:r>
        <w:rPr>
          <w:b/>
        </w:rPr>
        <w:t>E. 10</w:t>
      </w:r>
    </w:p>
    <w:p>
      <w:r>
        <w:t>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w:t>
      </w:r>
    </w:p>
    <w:p>
      <w:r>
        <w:rPr>
          <w:b/>
        </w:rPr>
        <w:t>E. 11</w:t>
      </w:r>
    </w:p>
    <w:p>
      <w:r>
        <w:t>Plus spécifiquement, la LDTR vise à protéger les locataires contre des changements d’affectation quantitatifs du parc locatif, soit contre le remplacement de locaux d’habitation par des locaux commerciaux ou à usage professionnel, mais aussi et de façon primordiale, à les protéger contre des changements d’affectation qualitatifs. La LDTR vise à éviter la disparition de logements à usage locatif (arrêt du Tribunal fédéral 1P.406/2005 du 9 janvier 2006 consid. 3.3 ; ATA/373/2016 du 3 mai 2016 consid. 5a ; ATA/281/2016 du 5 avril 2016 consid. 8a).</w:t>
      </w:r>
    </w:p>
    <w:p>
      <w:r>
        <w:rPr>
          <w:b/>
        </w:rPr>
        <w:t>E. 12</w:t>
      </w:r>
    </w:p>
    <w:p>
      <w:r>
        <w:t>Est soumis à la LDTR tout bâtiment situé dans l’une des zones de construction prévues par l’art. 19 de la loi d'application de la LAT du 4 juin 1987 (LaLAT - L 1 30), ou construit au bénéfice des normes de l’une des quatre premières zones de construction en vertu des dispositions applicables aux zones de développement (let. a), et comportant des locaux qui, par leur aménagement et leur distribution, sont affectés à l’habitation (let. b ; art. 2 al. 1 LDTR).</w:t>
      </w:r>
    </w:p>
    <w:p>
      <w:r>
        <w:rPr>
          <w:b/>
        </w:rPr>
        <w:t>E. 13</w:t>
      </w:r>
    </w:p>
    <w:p>
      <w:r>
        <w:t>Par changement d’affectation, on entend toute modification, même en l’absence de travaux, qui a pour effet de remplacer des locaux à destination de logements par des locaux à usage commercial, administratif, artisanal ou industriel. Sont également assimilés à des changements d’affectation le remplacement de locaux à destination de logements par des résidences meublées ou des hôtels (let. a), le remplacement de résidences meublées ou d’hôtels par des locaux commerciaux, lorsque ces résidences ou ces hôtels répondent aux besoins prépondérants de la population (let. b), l’aliénation d’appartements loués, en application de l’art. 39 LDTR (let. c ; art. 3 al. 3 LDTR). Il n’y a pas de changement d’affectation au sens de la LDTR lorsque des locaux à usage commercial, administratif, artisanal ou industriel sont affectés à l’habitation. Il n’y a pas non plus de changement d’affectation au sens de la LDTR lorsque ces locaux retrouvent leur destination commerciale, administrative, artisanale ou industrielle antérieure. Le loyer ou le</w:t>
      </w:r>
    </w:p>
    <w:p>
      <w:r>
        <w:t>- 10/15 - A/1825/2021 prix des locaux convertis en logement ne peut pas être contrôlé au sens de la LDTR. Sous réserve de l’art. 3 al. 4 LDTR, nul ne peut, sauf si une dérogation lui est accordée au sens de l’art. 8 LDTR, changer l’affectation de tout ou partie d’un bâtiment au sens de l’art. 2 al. 1 LDTR, occupé ou inoccupé (art. 7 LDTR).</w:t>
      </w:r>
    </w:p>
    <w:p>
      <w:r>
        <w:rPr>
          <w:b/>
        </w:rPr>
        <w:t>E. 14</w:t>
      </w:r>
    </w:p>
    <w:p>
      <w:r>
        <w:t>En l’espèce, il ressort du dossier, et ce n’est pas contesté par la recourante, que l’immeuble en cause, situé en deuxième zone de construction, était soumis à la LDTR en raison de son affectation destinée à l’origine à du logement. En effet, cet immeuble a été construit conformément à l’autorisation de construire no 2______, délivrée le 16 juin 1964 par le département, laquelle visait la construction d’un immeuble locatif avec commerce au rez-de-chaussée. Ces locaux étaient donc destinés à l’habitation et il n’y a jamais eu de changement d’affectation autorisé par le département pour une autre utilisation.</w:t>
      </w:r>
    </w:p>
    <w:p>
      <w:r>
        <w:rPr>
          <w:b/>
        </w:rPr>
        <w:t>E. 15</w:t>
      </w:r>
    </w:p>
    <w:p>
      <w:r>
        <w:t>La recourante conteste toutefois que l’hôtel soit assujetti à la LDTR, en raison de l’acquisition depuis 2010 de la prescription trentenaire.</w:t>
      </w:r>
    </w:p>
    <w:p>
      <w:r>
        <w:rPr>
          <w:b/>
        </w:rPr>
        <w:t>E. 16</w:t>
      </w:r>
    </w:p>
    <w:p>
      <w:r>
        <w:t>Selon la jurisprudence, le rétablissement d’une situation conforme au droit ne peut pas être ordonné si un délai de plus de trente ans s’est écoulé depuis l'exécution des travaux litigieux (ATA/829/2016 du 4 octobre 2016 consid. 7 et les références citées ; ATF 107 Ia 121 = JdT 1983 I 299 consid. 1). Il serait en effet choquant et contraire à la sécurité du droit que l'autorité puisse contraindre un propriétaire,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 rétablissement d'une situation conforme au droit s'impose pour des motifs de police au sens étroit (ATF 107 Ia 121 précité consid. 1 ; ATA/675/2017 du 20 juin 2017). La prescription trentenaire s’applique également aux cas de changement d’affectation, la sécurité du droit devant être garantie également en la matière (ATA/675/2017 précité ; ATA/607/2007 du 27 novembre 2007 consid. 5a ; ATA/487/2007 du 2 octobre 2007 consid. 4b). La jurisprudence susmentionnée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 du Tribunal fédéral 1A.42/2004 du 16 août 2004 consid. 3.2).</w:t>
      </w:r>
    </w:p>
    <w:p>
      <w:r>
        <w:t>- 11/15 - A/1825/2021</w:t>
      </w:r>
    </w:p>
    <w:p>
      <w:r>
        <w:rPr>
          <w:b/>
        </w:rPr>
        <w:t>E. 17</w:t>
      </w:r>
    </w:p>
    <w:p>
      <w:r>
        <w:t>Dans l'ATA/675/2017 précité, la chambre administrative de la Cour de justice (ci- après : chambre administrative) a ainsi retenu que : « l’acquisition de la prescription trentenaire a uniquement pour effet de permettre aux recourants de poursuivre l’utilisation des locaux comme bureaux s’ils le souhaitent - l’autorité intimée ne pouvant leur ordonner de rétablir l’affectation d’origine -, sans toutefois que cela rende licite le changement d’affectation survenu il y a plus de trente ans ». L’affectation commerciale reste donc illicite et les recourants ne peuvent se prévaloir par ce biais de l’art. 3 al. 4 LDTR » (ATA/675/2017 précité consid. 6c, confirmé par arrêt du Tribunal fédéral 1C_428/2017 du 1er mars 2018 qui n'a toutefois pas été saisi spécifiquement de cette question).</w:t>
      </w:r>
    </w:p>
    <w:p>
      <w:r>
        <w:rPr>
          <w:b/>
        </w:rPr>
        <w:t>E. 18</w:t>
      </w:r>
    </w:p>
    <w:p>
      <w:r>
        <w:t>Le tribunal de céans a également déjà eu l'occasion d'admettre qu'en raison de la prescription trentenaire, le département ne pouvait plus demander la remise en état antérieur d'un appartement, tout en confirmant pour le surplus que ladite prescription n'avait pas pour conséquence de légaliser la situation (JTAPI/1142/2013 du 10 octobre 2013, consid. 15 ; JTAPI/1226/2016 du 22 novembre 2016 consid. 15, confirmé par ATA/675/2017 précité).</w:t>
      </w:r>
    </w:p>
    <w:p>
      <w:r>
        <w:rPr>
          <w:b/>
        </w:rPr>
        <w:t>E. 19</w:t>
      </w:r>
    </w:p>
    <w:p>
      <w:r>
        <w:t>En l’espèce, il ressort des pièces produites, soit notamment des extrait d’annuaire datant de 1980 à 1984, que l’immeuble est répertorié comme hôtel à tout le moins depuis 1980. Ainsi, la prescription trentenaire a été acquise en 2010. Conformément à la jurisprudence citée supra, l’acquisition de la prescription trentenaire a uniquement pour effet de permettre à la recourante de poursuivre l’utilisation des locaux comme hôtel si elle le souhaite - l’autorité intimée ne pouvant lui ordonner de rétablir l’affectation d’origine -, sans toutefois que cela rende licite le changement d’affectation survenu il y a plus de trente ans. Retenir le contraire, à savoir que la recourante puisse prétendre à des droits en se prévalant d'une situation illicite, en ayant changé d'affectation sans autorisation, et en contournant l'application de la LDTR, mettant de ce fait le département devant le fait accompli, serait d'ailleurs contraire à l'esprit de cette loi et aboutirait à admettre un abus de droit. Une telle solution consacrerait également une violation du principe de l'égalité de traitement puisqu'elle reviendrait à traiter la recourante de manière plus favorable qu'un propriétaire qui a pour sa part respecté la règlementation en vigueur. Ainsi, l’acquisition de la prescription trentenaire ne permet pas pour autant de considérer que l’immeuble ne serait pas soumis à la LDTR.</w:t>
      </w:r>
    </w:p>
    <w:p>
      <w:r>
        <w:rPr>
          <w:b/>
        </w:rPr>
        <w:t>E. 20</w:t>
      </w:r>
    </w:p>
    <w:p>
      <w:r>
        <w:t>La recourante fait ensuite valoir que la LDTR ne serait pas applicable au cas d'espèce, au motif que les caractéristiques de l’hôtel ne répondraient pas aux BPP, ce dernier ayant une affectation hôtelière classique, destinée à une clientèle de passage.</w:t>
      </w:r>
    </w:p>
    <w:p>
      <w:r>
        <w:rPr>
          <w:b/>
        </w:rPr>
        <w:t>E. 21</w:t>
      </w:r>
    </w:p>
    <w:p>
      <w:r>
        <w:t>En principe, la LDTR n’est pas applicable aux hôtels et résidences meublées (Emmanuelle GAIDE/Valérie DEFAGO GAUDIN, La LDTR, 2014, p. 126). Fait</w:t>
      </w:r>
    </w:p>
    <w:p>
      <w:r>
        <w:t>- 12/15 - A/1825/2021 exception le remplacement de ces locaux par des locaux commerciaux, lorsque ces hôtels et résidences meublées répondent aux BPP (art. 3 al. 3 let. b LDTR).</w:t>
      </w:r>
    </w:p>
    <w:p>
      <w:r>
        <w:rPr>
          <w:b/>
        </w:rPr>
        <w:t>E. 22</w:t>
      </w:r>
    </w:p>
    <w:p>
      <w:r>
        <w:t>Par BPP, il faut entendre les loyers accessibles à la majorité de la population (art. 9 al. 3 1ère phr. LDTR).</w:t>
      </w:r>
    </w:p>
    <w:p>
      <w:r>
        <w:rPr>
          <w:b/>
        </w:rPr>
        <w:t>E. 23</w:t>
      </w:r>
    </w:p>
    <w:p>
      <w:r>
        <w:t>Les résidences meublées et les hôtels répondant aux BPP sont considérés comme des formes particulières de logement, car ces établissements sont destinés à loger certaines catégories de la population, appelées à résider durablement dans le canton de Genève (par exemple des étudiants, des personnes âgées, les réfugiés ou les personnes ayant besoin d’un logement d’urgence, etc.). La LDTR protège donc aussi ces établissements (Emmanuelle GAIDE/Valérie DEFAGO GAUDIN, La LDTR, 2014, p. 351). En revanche, les hôtels hébergeant uniquement une clientèle de passage et des touristes à Genève, ainsi que les hôtels luxueux, ne sont pas soumis à la LDTR, si bien que leur changement d’affectation ne nécessite pas de procédure de dérogation (Emmanuelle GAIDE/Valérie DEFAGO GAUDIN, La LDTR, 2014, p. 351).</w:t>
      </w:r>
    </w:p>
    <w:p>
      <w:r>
        <w:rPr>
          <w:b/>
        </w:rPr>
        <w:t>E. 24</w:t>
      </w:r>
    </w:p>
    <w:p>
      <w:r>
        <w:t>La jurisprudence a considéré qu’un hôtel pour une clientèle internationale ne répondait pas aux BPP, et n’était donc pas soumis à la LDTR (Emmanuelle GAIDE/Valérie DEFAGO GAUDIN, La LDTR, 2014, p. 351 ; ATF 111 Ia 23 ; ATA 83.TP.81) Il en allait de même d’un hôtel dont le prix des chambres s’élevait, en 1992, entre CHF 115.- et CHF 210.-, considéré par le tribunal administratif comme luxueux, car ses chambres comportaient l’air conditionné et la télévision, et n’était pas utilisé par les genevois ayant besoin d’un logement temporaire (A/896/1992 consid. 6-8 cité par Emmanuelle GAIDE/Valérie DEFAGO GAUDIN, La LDTR, 2014, p. 351).</w:t>
      </w:r>
    </w:p>
    <w:p>
      <w:r>
        <w:rPr>
          <w:b/>
        </w:rPr>
        <w:t>E. 25</w:t>
      </w:r>
    </w:p>
    <w:p>
      <w:r>
        <w:t>En l’espèce, l’hôtel a dans un premier temps été dédié à une clientèle touristique et de passage. Il comporte certes certains équipements qui ont été, selon une ancienne jurisprudence, qualifiés de luxueux, tels que la télévision ou l’air conditionné, mais qui sont actuellement considérés comme des équipements standards, sans luxe particulier. Toutefois, à compter de 2014, et jusqu’en 2021 à tout le moins, il a abrité, au bénéfice d’une convention avec l’HG, certains bénéficiaires de ce dernier ayant besoin d’un logement d’urgence. Le prix des nuitées était fixé à CHF 85.- pour une personne, CHF 130.- pour deux et CHF 158.- pour trois personnes, d’entente avec l’HG, qui garantissait non seulement de faire appel à l’hôtel en priorité, mais aussi que le paiement des prestations hôtelières fournies.</w:t>
      </w:r>
    </w:p>
    <w:p>
      <w:r>
        <w:t>- 13/15 - A/1825/2021 Ainsi, le tribunal retient, et ce n’est pas contesté, qu’entre 2014 et 2018, l’hôtel a eu une clientèle mixte, comptant à la fois des bénéficiaires de l’HG et d’autres clients, puis uniquement de l’HG entre 2018 et 2022, selon les rapports d’occupation de 2014 à 2020. L’analyse de ces derniers démontre cependant que le prix moyen des nuitées a augmenté depuis la collaboration avec l’HG. En effet, ce dernier est passé de CHF 117.- en 2014, à CHF 137.35.- en 2020, alors que le taux d’occupation par des bénéficiaires de l’HG était de 65,33% en 2014 mais de 100% en 2020. L’étude de ces chiffres démontre ainsi qu’au début de la collaboration avec l’HG, le prix moyen des chambres était inférieur au prix moyen pratiqué lorsque tous les clients de l’hôtel étaient des bénéficiaires de l’HG. Le prix moyen pratiqué en 2014 permet de considérer qu’à cette période déjà, l’hôtel répondait aux BPP de ce point de vue. Il en va de même au regard des équipements fournis, qui ne sont pas particulièrement luxueux, la jurisprudence ancienne citée ne permettant pas de considérer que l’air conditionné ou la télévision seraient actuellement des preuves du caractère luxueux d’un établissement. Ainsi, l’hôtel répond de ces points de vue aux BPP, étant encore souligné qu’il s’agissait, lors de sa construction d’un immeuble d’habitation, dont l’affectation a été illégalement modifiée. La recourante considère ensuite que la non-obtention du marché de l’HG serait la preuve que l’hôtel ne répond en réalité pas aux BPP. Or, le fait que la recourante n’ait pas obtenu l’appel d’offres pour le renouvellement de la collaboration n’est ici pas pertinent, les raisons pour lesquelles son offre n’ayant pas été retenue n’étant pas détaillées. Ainsi, ne pas avoir obtenu le marché ne signifie pas pour autant que les équipements de l’hôtel ne correspondent pas aux BPP. Finalement, le fait que le taux d’occupation soit en baisse depuis la fin de la collaboration avec l’HG ne signifie pas pour autant que l’hôtel ne répond pas aux BPP, des facteurs extérieurs pouvant jouer un rôle s’agissant du taux de vacance. Sur ce point, il ressort des dernières pièces fournies, que l’hôtel avait encore en 2021 un taux d’occupation moyen, à teneur des pièces fournies, de 67%. Ce taux est d’ailleurs supérieur à l’occupation moyenne de l’hôtel, avant la collaboration avec l’HG, en 2014, puisque ce dernier était de 50%, en janvier 2014 et de 58% sur l’année. Au vu de ce qui précède, ne pas soumettre l’immeuble à la LDTR dans ces conditions permettrait à la recourante de contourner cette loi, contrairement à son esprit, en se prévalant d’un ancien changement d’affectation illicite. Partant, le tribunal constate que le département n’a pas abusé de son pouvoir d’appréciation en retenant que l’hôtel était soumis à la LDTR, répondant aux BPP.</w:t>
      </w:r>
    </w:p>
    <w:p>
      <w:r>
        <w:t>- 14/15 - A/1825/2021</w:t>
      </w:r>
    </w:p>
    <w:p>
      <w:r>
        <w:rPr>
          <w:b/>
        </w:rPr>
        <w:t>E. 26</w:t>
      </w:r>
    </w:p>
    <w:p>
      <w:r>
        <w:t>La recourante se plaint d’une violation de la garantie de la propriété.</w:t>
      </w:r>
    </w:p>
    <w:p>
      <w:r>
        <w:rPr>
          <w:b/>
        </w:rPr>
        <w:t>E. 27</w:t>
      </w:r>
    </w:p>
    <w:p>
      <w:r>
        <w:t>La garantie de la propriété est ancrée à l'art. 26 al. 1 Cst. Elle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(ATF 141 I 20 consid. 6.2.1; 140 I 168 consid. 4.2.1; 135 I 233 consid. 3.1).</w:t>
      </w:r>
    </w:p>
    <w:p>
      <w:r>
        <w:rPr>
          <w:b/>
        </w:rPr>
        <w:t>E. 28</w:t>
      </w:r>
    </w:p>
    <w:p>
      <w:r>
        <w:t>Le Tribunal fédéral a déjà eu l'occasion de préciser que la réglementation mise en place par la LDTR est en soi conforme au droit fédéral et à la garantie de la propriété (ATF 116 Ia 401 consid. 9 ; arrêts du Tribunal fédéral 1C_617/2012 du 3 mai 2013 consid. 2.3 ; 1C_358/2010 du 18 janvier 2011 consid. 3.3).</w:t>
      </w:r>
    </w:p>
    <w:p>
      <w:r>
        <w:rPr>
          <w:b/>
        </w:rPr>
        <w:t>E. 29</w:t>
      </w:r>
    </w:p>
    <w:p>
      <w:r>
        <w:t>En l’espèce, il ressort de la jurisprudence précitée que l'atteinte à la garantie de la propriété de la recourante se fonde sur une base légale suffisante et répond à un intérêt public prépondérant. Elle s'avère également proportionnée, dans la mesure où l'autorité intimée a effectué une pesée des intérêts en présence et évalué l'importance du motif de refus, à savoir la préservation du parc locatif genevois, au regard des intérêts, notamment économiques de la recourante. Les intérêts publics défendus par la LDTR évoqués dans la décision querellée - soit les considérations de politique du logement à Genève - l'emportent sur les intérêts privés, purement économiques, de la recourante à pouvoir élargir le cercle de ses potentiels acheteurs. Le refus de constater le statut commercial de l’immeuble ne constitue ainsi aucune violation de la garantie de la propriété de la recourante, celle-ci pouvant tout à fait continuer à l’exploiter comme hôtel, sans limitation du montant des nuitées par ailleurs.</w:t>
      </w:r>
    </w:p>
    <w:p>
      <w:r>
        <w:rPr>
          <w:b/>
        </w:rPr>
        <w:t>E. 30</w:t>
      </w:r>
    </w:p>
    <w:p>
      <w:r>
        <w:t>Au vu de ce qui précède, le recours sera donc rejeté.</w:t>
      </w:r>
    </w:p>
    <w:p>
      <w:r>
        <w:rPr>
          <w:b/>
        </w:rPr>
        <w:t>E. 31</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- 15/15 - A/1825/2021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