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JTAPI/277/2024 vom 27. März 2024</w:t>
      </w:r>
    </w:p>
    <w:p>
      <w:r>
        <w:t>GE Cour de justice, 2024-03-27, FR</w:t>
      </w:r>
    </w:p>
    <w:p>
      <w:r>
        <w:rPr>
          <w:b/>
        </w:rPr>
        <w:t xml:space="preserve">Quelle: </w:t>
      </w:r>
      <w:r>
        <w:t>https://mcp.opencaselaw.ch/entscheid/ge_gerichte_JTAPI_277_2024</w:t>
      </w:r>
    </w:p>
    <w:p>
      <w:r>
        <w:t>FR: GE_GERICHTE JTAPI/277/2024 du 27 mars 2024</w:t>
      </w:r>
    </w:p>
    <w:p>
      <w:r>
        <w:t>IT: GE_GERICHTE JTAPI/277/2024 del 27 marzo 2024</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80a al. 3 LEI, la légalité et l'adéquation de la détention ordonnée dans le cadre d'une procédure Dublin sont examinées, sur demande de la personne détenue, par une autorité judiciaire au terme d'une procédure écrite. Cet examen pouvant être demandé à tout moment.</w:t>
      </w:r>
    </w:p>
    <w:p>
      <w:r>
        <w:rPr>
          <w:b/>
        </w:rPr>
        <w:t>E. 3</w:t>
      </w:r>
    </w:p>
    <w:p>
      <w:r>
        <w:t>septembre 2021; JTAPI/1004/2020 du 19 novembre 2020 confirmé par ATA/1252/2020 du 8 décembre 2020 ; JTAPI/803/2019 du 6 septembre 2019).</w:t>
      </w:r>
    </w:p>
    <w:p>
      <w:r>
        <w:rPr>
          <w:b/>
        </w:rPr>
        <w:t>E. 4</w:t>
      </w:r>
    </w:p>
    <w:p>
      <w:r>
        <w:t>En l'espèce, M. A______ a demandé par acte du 22 mars 2024 reçu par le tribunal le 25 mars 2024, que ce dernier contrôle la légalité et l'adéquation de sa détention.</w:t>
      </w:r>
    </w:p>
    <w:p>
      <w:r>
        <w:rPr>
          <w:b/>
        </w:rPr>
        <w:t>E. 5</w:t>
      </w:r>
    </w:p>
    <w:p>
      <w:r>
        <w:t>Statuant ce jour, le tribunal respecte les délais légaux.</w:t>
      </w:r>
    </w:p>
    <w:p>
      <w:r>
        <w:t>- 4/7 - A/1005/2024</w:t>
      </w:r>
    </w:p>
    <w:p>
      <w:r>
        <w:rPr>
          <w:b/>
        </w:rPr>
        <w:t>E. 6</w:t>
      </w:r>
    </w:p>
    <w:p>
      <w:r>
        <w:t>Le tribunal peut confirmer, réformer ou annuler la décision du commissaire de police ; le cas échéant, il ordonne la mise en liberté de l'étranger (cf.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8</w:t>
      </w:r>
    </w:p>
    <w:p>
      <w:r>
        <w:t>Selon l’art. 28 ch. 2 du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ch.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w:t>
      </w:r>
    </w:p>
    <w:p>
      <w:r>
        <w:rPr>
          <w:b/>
        </w:rPr>
        <w:t>E. 9</w:t>
      </w:r>
    </w:p>
    <w:p>
      <w:r>
        <w:t>À teneur de l'art. 76a al. 1 LEI, afin d'assurer son renvoi dans l'État Dublin responsable, l'autorité compétente peut mettre l'étranger en détention sur la base d'une évaluation individuelle lorsque les conditions suivantes sont remplies : des éléments concrets font craindre que l'étranger concerné n'entende se soustraire au renvoi (let. a), la détention est proportionnée (let. b) et d'autres mesures moins coercitives ne peuvent être appliquées de manière efficace (art. 28 par. 2 du règlement [UE] n° 604/2013) (let. c).</w:t>
      </w:r>
    </w:p>
    <w:p>
      <w:r>
        <w:rPr>
          <w:b/>
        </w:rPr>
        <w:t>E. 10</w:t>
      </w:r>
    </w:p>
    <w:p>
      <w:r>
        <w:t>Selon l'art. 76a al. 2 LEI, les éléments concrets font craindre que l'étranger entende se soustraire à l'exécution du renvoi si : - son comportement en Suisse ou à l'étranger permet de conclure qu'il refuse d'obtempérer aux instructions des autorités (let. b) ; - il quitte la région qui lui est assignée ou pénètre dans une zone qui lui est interdite en vertu de l'art. 74 (let d) ; - franchit la frontière malgré une interdiction d’entrée en Suisse (let. e) ; - a été condamné pour crime (let. h).</w:t>
      </w:r>
    </w:p>
    <w:p>
      <w:r>
        <w:rPr>
          <w:b/>
        </w:rPr>
        <w:t>E. 11</w:t>
      </w:r>
    </w:p>
    <w:p>
      <w:r>
        <w:t>Les motifs énumérés, de manière exhaustive, à l'art. 76a al. 2 LEI correspondent en principe à ceux déjà retenus aux art. 75 et 76 LEI (Gregor CHATTON/ Laurent</w:t>
      </w:r>
    </w:p>
    <w:p>
      <w:r>
        <w:t>- 5/7 - A/1005/2024 MERZ in Code annoté de droit des migrations, volume II : loi sur les étrangers, n° 2.5 ad art. 76a, p. 808).</w:t>
      </w:r>
    </w:p>
    <w:p>
      <w:r>
        <w:rPr>
          <w:b/>
        </w:rPr>
        <w:t>E. 12</w:t>
      </w:r>
    </w:p>
    <w:p>
      <w:r>
        <w:t>Comme toute mesure étatique, la détention administrative en matière de droit des étrangers doit dans tous les cas respecter le principe de la proportionnalité (cf. art. 5 al. 2 et 36 de la Constitution fédérale de la Confédération suisse du 18 avril 1999 (Cst - RS 101) et art. 76a al. 1 let. b et c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constitue une mesure appropriée et nécessaire (cf. art. 5 par. 1 let. f CEDH ; ATF 134 I 92 consid. 2.3 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 19 mai 2015 consid. 2.2 ; 2C_218/2013 du 26 mars 2013 consid. 5.1 et les références citées ; cf. ATF 130 II 425 consid. 5.2).</w:t>
      </w:r>
    </w:p>
    <w:p>
      <w:r>
        <w:rPr>
          <w:b/>
        </w:rPr>
        <w:t>E. 13</w:t>
      </w:r>
    </w:p>
    <w:p>
      <w:r>
        <w:t>Selon l'art. 76a al. 3 let. a LEI, à compter du moment où la détention a été ordonnée, l'étranger peut être placé ou maintenu en détention pour une durée maximale de sept semaines pendant la préparation de la décision relative à la responsabilité du traitement de la demande d'asile ; les démarches y afférentes comprennent l'établissement de la demande de reprise en charge adressée à un autre État Dublin, le délai d'attente de la réponse à la demande ou de son acceptation tacite, la rédaction de la décision et sa notification.</w:t>
      </w:r>
    </w:p>
    <w:p>
      <w:r>
        <w:rPr>
          <w:b/>
        </w:rPr>
        <w:t>E. 14</w:t>
      </w:r>
    </w:p>
    <w:p>
      <w:r>
        <w:t>Selon l'art. 3 CEDH, nul ne peut être soumis à la torture ni à des peines ou traitements inhumains ou dégradants. Cette disposition fait peser sur les autorités une obligation positive qui consiste à s'assurer que tout prisonnier est détenu dans des conditions qui sont compatibles avec le respect de la dignité humaine et que les modalités d'exécution de la mesure en cause ne soumettent pas l'intéressé à une détresse ou à une épreuve d'une intensité qui excède le niveau inévitable de souffrance inhérent à la détention (ACEDH Enoaie c. Roumanie du 4 novembre 2014, req. n° 36513/12, § 46 ; Kuda c. Pologne [GC] du 26 octobre 2000, req. n° 30210/96, rec. 2000-XI, § 94).</w:t>
      </w:r>
    </w:p>
    <w:p>
      <w:r>
        <w:rPr>
          <w:b/>
        </w:rPr>
        <w:t>E. 15</w:t>
      </w:r>
    </w:p>
    <w:p>
      <w:r>
        <w:t>La légalité de la détention administrative au sein de l’établissement de Favra, dans son principe, a encore dernièrement été confirmée par la chambre administrative de la Cour de justice (ci-après : chambre administrative), notamment les 23 février et</w:t>
      </w:r>
    </w:p>
    <w:p>
      <w:r>
        <w:rPr>
          <w:b/>
        </w:rPr>
        <w:t>E. 19</w:t>
      </w:r>
    </w:p>
    <w:p>
      <w:r>
        <w:t>janvier 2024 (ATA/235/2024 du 23 février 2024 et ATA/55/2024 du 19 janvier 2024).</w:t>
      </w:r>
    </w:p>
    <w:p>
      <w:r>
        <w:t>- 6/7 - A/1005/2024 16. En l’espèce, M. A______ fait l’objet d'une mesure d'expulsion judiciaire de Suisse, que l'autorité administrative compétente a décidé de ne pas reporter, étant par ailleurs rappelé que les autorités allemandes, pays dont la responsabilité Dublin a été établie, ont consenti au transfert de l'intéressé sur leur territoire. S'agissant des motifs présidant à sa mise en détention, l'intéressé a été condamné pour rupture de ban, étant rappelé que l’expulsion pénale vaut interdiction d'entrée en Suisse (ATA/1179/2018), pour crime et non-respect d’une assignation à un lieu de résidence ou d'une interdiction de pénétrer dans une région déterminée. Partant, c'est de manière tout à fait fondée que le commissaire de police a ordonné sa détention sur la base de l'art. 76a al. 1 et 2 let. d, e et h LEI, les conditions de la let. b apparaissant au demeurant également remplies vu le comportement qu’il a adopté jusqu’ici. Par ailleurs, la détention respecte le principe de proportionnalité, aucune autre mesure moins incisive ne permettrait de s’assurer de la présence de l’intéressé au moment où son renvoi devra être exécuté, celui-là n’ayant ni attaches ni lieu de résidence à Genève. Rien ne permet au surplus de considérer que les conditions de sa détention à Favra seraient illégales et/ou contraires à l’art. 3 CEDH. À cet égard, l’intéressé se contente d’invoquer des généralités. Dans ces conditions et dans les présentes circonstances, soit en particulier l’imminence de son renvoi et la nécessité des autorités suisses de s’assurer de son départ, rien ne permet de considérer que tel serait effectivement le cas et, partant, d’ordonner son transfert de Favra ou sa mise en liberté immédiate. Enfin, la durée de la détention décidée par le commissaire de police (soit six semaines) respecte le cadre légal fixé par l'art. 76a al. 3 LEI et est adéquate pour assurer l'exécution du renvoi, étant relevé que les démarches en vue de la réadmission de M. A______ en Allemagne ont été immédiatement initiées et sont toujours en cours. 17. Au vu de ce qui précède, il y a lieu de confirmer l'ordre de mise en détention administrative de M. A______ pour une durée de six semaines, soit jusqu'au 15 avril 2024. 18. 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- 7/7 - A/1005/2024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