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JTAPI/276/2021 vom 19. Januar 2021</w:t>
      </w:r>
    </w:p>
    <w:p>
      <w:r>
        <w:t>GE Cour de justice, 2021-01-19, FR</w:t>
      </w:r>
    </w:p>
    <w:p>
      <w:r>
        <w:rPr>
          <w:b/>
        </w:rPr>
        <w:t xml:space="preserve">Quelle: </w:t>
      </w:r>
      <w:r>
        <w:t>https://mcp.opencaselaw.ch/entscheid/ge_gerichte_JTAPI_276_2021</w:t>
      </w:r>
    </w:p>
    <w:p>
      <w:r>
        <w:t>FR: GE_GERICHTE JTAPI/276/2021 du 19 janvier 2021</w:t>
      </w:r>
    </w:p>
    <w:p>
      <w:r>
        <w:t>IT: GE_GERICHTE JTAPI/276/2021 del 19 gennaio 2021</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w:t>
      </w:r>
    </w:p>
    <w:p>
      <w:r>
        <w:t>- 4/5 - A/934/2021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il ressort clairement du dossier que M. B______ souffre d'une rechute de sa dépendance à l'alcool et que, nonobstant l'attitude de déni dont il n'est pour le moment pas parvenu à sortir, certains épisodes d'alcoolisation se sont accompagnés ces dernières semaines de violences tant verbales que physiques à l'encontre de sa compagne de vie, Mme A______.</w:t>
      </w:r>
    </w:p>
    <w:p>
      <w:r>
        <w:rPr>
          <w:b/>
        </w:rPr>
        <w:t>E. 5</w:t>
      </w:r>
    </w:p>
    <w:p>
      <w:r>
        <w:t>Dans ces conditions, il est évident qu'à moins d'une évolution importante dans les démarches que M. B______ semble en train d'entreprendre sur le plan médical, Mme A______, au contact de M. B______, reste soumise à un risque important pour son intégrité physique et psychique.</w:t>
      </w:r>
    </w:p>
    <w:p>
      <w:r>
        <w:rPr>
          <w:b/>
        </w:rPr>
        <w:t>E. 6</w:t>
      </w:r>
    </w:p>
    <w:p>
      <w:r>
        <w:t>Les conditions d'une prolongation de la mesure d'éloignement sont donc réalisées sur le principe.</w:t>
      </w:r>
    </w:p>
    <w:p>
      <w:r>
        <w:rPr>
          <w:b/>
        </w:rPr>
        <w:t>E. 7</w:t>
      </w:r>
    </w:p>
    <w:p>
      <w:r>
        <w:t>Quant à sa durée, les parties sont parvenues à se mettre d'accord pour la fixer à trois semaines, ce à quoi le tribunal peut adhérer sous l'angle du principe de la proportionnalité.</w:t>
      </w:r>
    </w:p>
    <w:p>
      <w:r>
        <w:rPr>
          <w:b/>
        </w:rPr>
        <w:t>E. 8</w:t>
      </w:r>
    </w:p>
    <w:p>
      <w:r>
        <w:t>Par conséquent, la demande de prolongation sera admise et la mesure d'éloignement prolongée pour une durée de trois semaines, soit jusqu'au 9 avril 2021 à 12h00 (midi).</w:t>
      </w:r>
    </w:p>
    <w:p>
      <w:r>
        <w:rPr>
          <w:b/>
        </w:rPr>
        <w:t>E. 9</w:t>
      </w:r>
    </w:p>
    <w:p>
      <w:r>
        <w:t>Il ne sera pas perçu d'émolument (art. 87 al. 1 LPA et 1 et 2 du règlement sur les frais, émoluments et indemnités en procédure administrative du 30 juillet 1986 - RFPA - E 5 10.03).</w:t>
      </w:r>
    </w:p>
    <w:p>
      <w:r>
        <w:rPr>
          <w:b/>
        </w:rPr>
        <w:t>E. 10</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- 5/5 - A/934/2021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