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JTAPI/274/2024 vom 14. März 2024</w:t>
      </w:r>
    </w:p>
    <w:p>
      <w:r>
        <w:t>GE Cour de justice, 2024-03-14, FR</w:t>
      </w:r>
    </w:p>
    <w:p>
      <w:r>
        <w:rPr>
          <w:b/>
        </w:rPr>
        <w:t xml:space="preserve">Quelle: </w:t>
      </w:r>
      <w:r>
        <w:t>https://mcp.opencaselaw.ch/entscheid/ge_gerichte_JTAPI_274_2024</w:t>
      </w:r>
    </w:p>
    <w:p>
      <w:r>
        <w:t>FR: GE_GERICHTE JTAPI/274/2024 du 14 mars 2024</w:t>
      </w:r>
    </w:p>
    <w:p>
      <w:r>
        <w:t>IT: GE_GERICHTE JTAPI/274/2024 del 14 marzo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w:t>
      </w:r>
    </w:p>
    <w:p>
      <w:r>
        <w:t>- 8/10 - A/1020/2024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 tribunal constate sur la base du dossier que les violences au sein du couple sont admises par chacun des protagonistes et qu'elles sont bilatérales. Cela étant, il n'est pas nécessaire en l'état de déterminer à qui incombe leurs responsabilités, M. B______ ayant adhéré à la demande de prolongation de la mesure d'éloignement formulée par Mme A______. En revanche, s'agissant des enfants, le tribunal constatera que la mesure d'éloignement était infondée en ce qu'elle interdisait à leur père d'avoir des contacts avec eux, étant donné qu'il ressort clairement des déclarations de Mme A______ que M. B______ a avec eux des rapports attentionnés et non violents. Par conséquent, la demande de prolongation de la mesure d'éloignement ne concernera pas les enfants C______ et D______. Il sera donné acte à leurs parents de ce qu'ils passeront par une personne intermédiaire pour permettre aux enfants de passer de l'un de leur parent à l'autre.</w:t>
      </w:r>
    </w:p>
    <w:p>
      <w:r>
        <w:rPr>
          <w:b/>
        </w:rPr>
        <w:t>E. 5</w:t>
      </w:r>
    </w:p>
    <w:p>
      <w:r>
        <w:t>Par conséquent, la demande de prolongation sera admise et la mesure d'éloignement prolongée pour une durée de trente jours, excepté en ce qui concerne les enfants C______ et D______.</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w:t>
      </w:r>
    </w:p>
    <w:p>
      <w:r>
        <w:t>- 9/10 - A/1020/2024 Conseil chargée d'étudier le projet de loi 10582-A du Conseil d'État modifiant la LVD, in MGC 2009-2010/IX A, D. Examen de détail, ad art. 11 al. 1 LVD).</w:t>
      </w:r>
    </w:p>
    <w:p>
      <w:r>
        <w:t>- 10/10 - A/1020/2024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