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JTAPI/272/2025 vom 13. März 2025</w:t>
      </w:r>
    </w:p>
    <w:p>
      <w:r>
        <w:t>GE Cour de justice, 2025-03-13, FR</w:t>
      </w:r>
    </w:p>
    <w:p>
      <w:r>
        <w:rPr>
          <w:b/>
        </w:rPr>
        <w:t xml:space="preserve">Quelle: </w:t>
      </w:r>
      <w:r>
        <w:t>https://mcp.opencaselaw.ch/entscheid/ge_gerichte_JTAPI_272_2025</w:t>
      </w:r>
    </w:p>
    <w:p>
      <w:r>
        <w:t>FR: GE_GERICHTE JTAPI/272/2025 du 13 mars 2025</w:t>
      </w:r>
    </w:p>
    <w:p>
      <w:r>
        <w:t>IT: GE_GERICHTE JTAPI/272/2025 del 13 marzo 2025</w:t>
      </w:r>
    </w:p>
    <w:p>
      <w:pPr>
        <w:pStyle w:val="Heading2"/>
      </w:pPr>
      <w:r>
        <w:t>Erwägungen</w:t>
      </w:r>
    </w:p>
    <w:p>
      <w:r>
        <w:rPr>
          <w:b/>
        </w:rPr>
        <w:t>E. 39</w:t>
      </w:r>
    </w:p>
    <w:p>
      <w:r>
        <w:t>Dans un arrêt du 17 février 2021 (1C_202/2020), le Tribunal fédéral a examiné le bien-fondé d’un arrêt rendu par le Tribunal cantonal valaisan, qui avait jugé que les travaux exécutés avant l’échéance du permis de construire n’étaient pas suffisants au regard de la loi valaisanne. La Haute Cour a rappelé que cette dernière prévoyait que l’autorisation de construire devenait caduque si l’exécution</w:t>
      </w:r>
    </w:p>
    <w:p>
      <w:r>
        <w:t>- 30/35 - A/2932/2022 du projet n’avait pas commencé dans les trois ans dès son entrée en force. L’exécution était considérée comme commencée lorsque des travaux importants avaient été réalisés, en particulier l’ensemble du terrassement ou une fouille importante nécessaire au projet. Dans tous les cas, l’exécution du projet était réputée commencée lorsque les semelles ou le radier de fondation étaient exécutés. Elle a jugé, au vu des éléments retenus par la cour cantonale et de sa jurisprudence, qu’il n’était pas insoutenable de considérer que les travaux avaient atteint un stade suffisant pour admettre leur commencement avant l’échéance du permis de construire.</w:t>
      </w:r>
    </w:p>
    <w:p>
      <w:r>
        <w:rPr>
          <w:b/>
        </w:rPr>
        <w:t>E. 40</w:t>
      </w:r>
    </w:p>
    <w:p>
      <w:r>
        <w:t>Dans l'ATA/112/2024 du 30 janvier 2024, la chambre administrative a toutefois retenu que la jurisprudence rendue par le Tribunal administratif (ATA/412/2001 précité), confirmée par arrêt du Tribunal fédéral (1A_150/2001 précité) n’était pas dépassée suite au prononcé de l’arrêt du 17 février 2021 (1C_202/2020 précité). En effet, contrairement au droit valaisan, lequel précise le moment à partir duquel l’exécution peut être considérée comme commencée en mentionnant expressément la réalisation de « travaux importants », en particulier un « terrassement », une « fouille », « les semelles ou le radier de fondation » (art. 51 al. 1 de la loi du canton du Valais du 15 décembre 2016 sur les constructions [LC ; RS/VS 705.1], le Conseil d’État, sur délégation du législateur genevois, libre de fixer la durée et les modalités de validité d’une autorisation de construire, avait défini la notion de « commencement des travaux » comme impliquant « l’ouverture effective du chantier », sans autre exigence. Ni l’art. 4 al. 5 LCI, ni l’art. 33A al. 1 RCI, ne faisait une quelconque référence à l’ampleur des travaux. Selon la chambre administrative, était seule décisive la question de savoir si le requérant, dans le délai de caducité de l’autorisation de construire concerné, avait entrepris des travaux, à savoir si le chantier avait effectivement été ouvert avant l'échéance de validité de l'autorisation de construire et si la construction de l’ouvrage s’était poursuivie (consid. 5.1).</w:t>
      </w:r>
    </w:p>
    <w:p>
      <w:r>
        <w:rPr>
          <w:b/>
        </w:rPr>
        <w:t>E. 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t>- 31/35 - A/2932/2022</w:t>
      </w:r>
    </w:p>
    <w:p>
      <w:r>
        <w:rPr>
          <w:b/>
        </w:rPr>
        <w:t>E. 42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43</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44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45</w:t>
      </w:r>
    </w:p>
    <w:p>
      <w:r>
        <w:t>En l'espèce, le texte de l'art. 4 al. 5 in fine LCI indique qu'en cas de recours, le délai de validité de l'autorisation de construire est suspendu jusqu'à la « fin de la procédure, y compris une éventuelle instance devant une juridiction fédérale ». Dans leurs écritures respectives, les parties intimées proposent chacune une interprétation de cette notion de « fin de la procédure » : le département est d'avis que cette notion correspond à la date d'entrée en force de chose jugée de l'arrêt de la chambre administrative en question (soit en l'occurrence le 3 décembre 2022), alors que pour les recourants, il s'agirait plutôt de la date effective de l'arrêt (soit en l'occurrence le ______ 2022). Cette question souffrira de rester indécise compte-tenu de ce qui suit. En effet, il convient de prendre en compte le contexte particulier du cas d’espèce, où le projet de construction porté par la DD 3______/1 est étroitement lié à la démolition autorisée du bâtiment préexistant (M 2______). Les demandes d'autorisation de démolir et de construire ont été déposées à la même date auprès du département et ont fait l'objet d'une instruction simultanée, ayant abouti à leur délivrance en date du ______ 2018. À cela s'ajoute que l'autorisation de construire initiale DD 3______/1 constitue une décision globale au sens de l'art. 3A al. 2 LCI et fait expressément référence à l'autorisation M 2______ dans son intitulé.</w:t>
      </w:r>
    </w:p>
    <w:p>
      <w:r>
        <w:t>- 32/35 - A/2932/2022 Ensuite, des avis d'ouverture des chantiers ont été remis en même temps au département concernant ces deux autorisations le 1er décembre 2021, avec une fin de phase de travaux prévue pour le 31 mars 2023 s'agissant de la M 2______, respectivement le 12 décembre 2023 pour la DD 3______/1. Toute cela démontre le lien intrinsèque existant entre ces deux autorisations visant à aboutir en définitive à l'édification d'une nouvelle construction, quand bien même, formellement et administrativement parlant, celle-ci implique une phase de démolition puis de construction et le prononcé de deux décisions administratives distinctes. Il est ainsi indéniable que l'exécution des travaux de ce projet, pris dans son ensemble, nécessite un examen global en prenant en considération tant les travaux de démolition que ceux de construction proprement dit. Le courriel du 14 mars 2022 de M. V______ produit par les recourants ne permet pas d'arriver à un autre constat, dès lors que ce dernier ne fait en réalité que mentionner les deux phases du chantier, tout en rappelant les termes de l'art. 33A al. 2 RCI, ce qui tend plutôt à confirmer qu'aux yeux du département, le chantier, dans son ensemble, était bien déjà ouvert. Il n'est donc pas arbitraire d'admettre l'ouverture du chantier de l'autorisation de construire, déjà au stade de la phase de démolition, comme l’a d’ailleurs fait la chambre administrative dans le cadre, comme en l'espèce, d'un projet de construction impliquant une démolition préalable (cf. ATA/412/2001 du 19 juin 2001 consid. 4b).</w:t>
      </w:r>
    </w:p>
    <w:p>
      <w:r>
        <w:t>Dans la présente espèce, outre le fait que les recourants ont expressément admis la réalisation de divers travaux de démolition, il ressort des éléments du dossier que la présence d'ouvrier a été constatée par l'un des voisins recourants le 6 décembre 2021 en vue de débuter les travaux de démolition, notamment par la dépose des fenêtres, comme l'atteste le courrier dudit voisin adressé au département le 6 décembre 2021. Sur la base de cette dénonciation, le département a d’ailleurs prononcé un ordre d'arrêt des travaux de démolition (courriel du 8 décembre 2021; pièce 45 du chargé des intimés). Il ressort également du dossier que les travaux de désamiantage de la maison ont débuté à tout le moins en septembre 2022, date des premiers devis. En outre, d'après le constat d'huissier du ______ 2022, commandé par les recourants, des barrières modulaires de chantier et des mesures anti-squat (dépose des encadrements de fenêtres et portes) ont été constatées, photographies à l'appui. Par ailleurs, comme l'admettent les recourants, des démolitions intérieures ont été entreprises. Tout cela démontre ainsi que des travaux de démolition ont été entamés bien avant l'échéance de validité de l'autorisation de construire initiale, avec pour résultat la démolition complète de la villa et le décapement du terrain fin mars 2023. En conséquence, le tribunal retiendra que les travaux visant la mise en œuvre de l'autorisation de construire litigieuse ont été initiés avant l'échéance de validité de celle-ci, étant rappelé que la jurisprudence fédérale fait une interprétation large de la notion de travaux selon l'art. 4 al. 5 LCI (arrêt du Tribunal fédéral 1A.150/2001 du 19 juin 2001 consid. 2.2), laissant une marge d'appréciation à l'autorité intimée pour qualifier ces derniers en fonction des circonstances. Or, en l’occurrence, le département a admis que le chantier était</w:t>
      </w:r>
    </w:p>
    <w:p>
      <w:r>
        <w:t>- 33/35 - A/2932/2022 valablement ouvert sans que rien au dossier ne permette de retenir qu’il aurait abusé ou excédé de son pouvoir d'appréciation.</w:t>
      </w:r>
    </w:p>
    <w:p>
      <w:r>
        <w:t>S'agissant d'une éventuelle interruption de chantier en violation de l'art. 33A RCI, outre le fait qu'il ne s'agit pas de l'objet du présent litige, le tribunal se contentera de rappeler que contrairement à la péremption du droit de construire ipso iure découlant du constat de la caducité d'une autorisation de construire, il ne faut pas perdre de vue qu'il s'agit là d'une prérogative du département lui permettant de sanctionner le bénéficiaire d'une autorisation de construire en lui ordonnant soit l'achèvement des travaux soit la démolition des parties inachevées et la remise en état des lieux. Il n'existe ainsi aucune obligation pour l'autorité intimée d'ordonner la continuation du chantier ou son arrêt. De surcroît, il convient de relever le contexte judiciairement tendu entre les parties au litige. En effet, outre la contestation de l'autorisation de construire s'étant conclue par l'arrêt de la chambre administrative confirmant cette décision, les recourants ont notamment parallèlement requis du Tribunal de première instance (ci-après : TPI) qu'il prononce un ordre d'arrêt immédiat des travaux tels qu'autorisés par la DD 3______/1 notamment en raison de problématiques liés aux servitudes et canalisations, procédure qui n'est manifestement pas achevée à ce jour d'après les informations en mains du tribunal.</w:t>
      </w:r>
    </w:p>
    <w:p>
      <w:r>
        <w:t>Dans ces circonstances, ne serait-ce qu’en vertu du principe de la bonne foi et de l’interdiction de l’abus de droit, les recourants sont malvenus de se prévaloir de l’absence de mise en œuvre de l’autorisation de construire dans le délai alors qu’ils ont tout fait pour précisément empêcher dite mise en œuvre.</w:t>
      </w:r>
    </w:p>
    <w:p>
      <w:r>
        <w:t>Au vu de ce qui précède, force est de constater que l'autorisation de construire litigieuse n'était pas caduque à son échéance de validité, les travaux de démolition ayant été entamés près d'une année auparavant.</w:t>
      </w:r>
    </w:p>
    <w:p>
      <w:r>
        <w:t>Le grief est ainsi rejeté.</w:t>
      </w:r>
    </w:p>
    <w:p>
      <w:r>
        <w:rPr>
          <w:b/>
        </w:rPr>
        <w:t>E. 46</w:t>
      </w:r>
    </w:p>
    <w:p>
      <w:r>
        <w:t>Enfin, les intimés sont d'avis que la demande de constat de caducité de l'autorisation de construire litigieuse sollicitée par les recourants serait téméraire et justifierait le prononcé d'une amende au sens de l'art. 88 LPA.</w:t>
      </w:r>
    </w:p>
    <w:p>
      <w:r>
        <w:rPr>
          <w:b/>
        </w:rPr>
        <w:t>E. 47</w:t>
      </w:r>
    </w:p>
    <w:p>
      <w:r>
        <w:t>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Le droit des parties d’obtenir la réparation du dommage causé par l’emploi abusif des procédures aux fins d’obtenir l’effet suspensif est réservé (al. 3).</w:t>
      </w:r>
    </w:p>
    <w:p>
      <w:r>
        <w:rPr>
          <w:b/>
        </w:rPr>
        <w:t>E. 48</w:t>
      </w:r>
    </w:p>
    <w:p>
      <w:r>
        <w:t>De jurisprudence constante, les conclusions des parties portant sur l’art. 88 al. 1 LPA sont irrecevables (ATA/439/2022 du 26 avril 2022 consid. 12a).</w:t>
      </w:r>
    </w:p>
    <w:p>
      <w:r>
        <w:t>- 34/35 - A/2932/2022</w:t>
      </w:r>
    </w:p>
    <w:p>
      <w:r>
        <w:rPr>
          <w:b/>
        </w:rPr>
        <w:t>E. 49</w:t>
      </w:r>
    </w:p>
    <w:p>
      <w:r>
        <w:t>En l’espèce, comme l'admettent les intimés, cette conclusion est irrecevable, conformément à la jurisprudence précitée. Quoiqu'il en soit, même à entrer en matière sur celle-ci, en lien avec le grief de caducité de l'autorisation de construire, elle devrait être rejetée, l’argumentaire des recourants ne pouvant être considéré comme téméraire. En effet, par le biais de leurs écritures, ces derniers ont présenté une argumentation détaillée qui poursuivait le respect de normes juridiques de droit public, dont la violation aurait pu entrainer l'annulation de la décision querellée, sans que rien ne permette de constater que leurs arguments étaient manifestement dépourvus de tout fondement ou basés sur des motivations étrangères à la loi. En outre, cette question devait être examinée d'office par le tribunal. Dans cette mesure, le tribunal n'entend pas prononcer une amende pour téméraire plaideur en application de l’art. 88 LPA.</w:t>
      </w:r>
    </w:p>
    <w:p>
      <w:r>
        <w:rPr>
          <w:b/>
        </w:rPr>
        <w:t>E. 50</w:t>
      </w:r>
    </w:p>
    <w:p>
      <w:r>
        <w:t>Entièrement mal fondé, le recours est rejeté. 51.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2'400.- ; il est partiellement couvert par l'avance de frais versée à la suite du dépôt des recours. 52. Une indemnité de procédure de CHF 2'400.-, à la charge des recourants, pris conjointement et solidairement, sera allouée aux intimés (art. 87 al. 2 à 4 LPA et 6 RFPA).</w:t>
      </w:r>
    </w:p>
    <w:p>
      <w:r>
        <w:t>- 35/35 - A/2932/2022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