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JTAPI/272/2024 vom 20. Mai 2021</w:t>
      </w:r>
    </w:p>
    <w:p>
      <w:r>
        <w:t>GE Cour de justice, 2021-05-20, FR</w:t>
      </w:r>
    </w:p>
    <w:p>
      <w:r>
        <w:rPr>
          <w:b/>
        </w:rPr>
        <w:t xml:space="preserve">Quelle: </w:t>
      </w:r>
      <w:r>
        <w:t>https://mcp.opencaselaw.ch/entscheid/ge_gerichte_JTAPI_272_2024</w:t>
      </w:r>
    </w:p>
    <w:p>
      <w:r>
        <w:t>FR: GE_GERICHTE JTAPI/272/2024 du 20 mai 2021</w:t>
      </w:r>
    </w:p>
    <w:p>
      <w:r>
        <w:t>IT: GE_GERICHTE JTAPI/272/2024 del 20 maggio 2021</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les recours sont recevables au sens des art. 60 et 62 à 65 de la loi sur la procédure administrative du 12 septembre 1985 (LPA - E 5 10).</w:t>
      </w:r>
    </w:p>
    <w:p>
      <w:r>
        <w:rPr>
          <w:b/>
        </w:rPr>
        <w:t>E. 3</w:t>
      </w:r>
    </w:p>
    <w:p>
      <w:r>
        <w:t>À teneur de l'art. 70 al. 1 LPA, l'autorité peut, d'office ou sur requête, joindre en une même procédure des affaires qui se rapportent à une situation identique ou à une cause juridique commune.</w:t>
      </w:r>
    </w:p>
    <w:p>
      <w:r>
        <w:rPr>
          <w:b/>
        </w:rPr>
        <w:t>E. 4</w:t>
      </w:r>
    </w:p>
    <w:p>
      <w:r>
        <w:t>En l'espèce, les deux recours reposent sur un complexe de faits semblables et liés, de sorte qu'ils doivent être traités, du point de vue juridique, en commun. Il y a dès lors lieu d'ordonner leur jonction sous le numéro de cause A/4000/2023.</w:t>
      </w:r>
    </w:p>
    <w:p>
      <w:r>
        <w:rPr>
          <w:b/>
        </w:rPr>
        <w:t>E. 4.1</w:t>
      </w:r>
    </w:p>
    <w:p>
      <w:r>
        <w:t>;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la société ne dispose d'aucun droit à engager cette dernière en vue de l'exercice d'une activité lucrative en Suisse (arrêt du Tribunal fédéral 2D_57/2015 du 21 septembre 2015 consid. 3 ; arrêt du Tribunal administratif fédéral C-5184/2014 du 31 mars 2016 consid. 3 ; ATA/1094/2019 du 25 juin 2019 consid. 5b).</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6</w:t>
      </w:r>
    </w:p>
    <w:p>
      <w:r>
        <w:t>La LEI et ses ordonnances d'exécution, en particulier l'ordonnance relative à l'admission, au séjour et à l'exercice d'une activité lucrative du 24 octobre 2007 (OASA - RS 142.201), règlent l'entrée, le séjour et la sortie de Suisse des</w:t>
      </w:r>
    </w:p>
    <w:p>
      <w:r>
        <w:t>- 7/13 - A/4000/2023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7</w:t>
      </w:r>
    </w:p>
    <w:p>
      <w:r>
        <w:t>En l'occurrence, la recourante étant ressortissante marocaine et non d'un pays membre de la Communauté européenne, la demande de permis déposée en sa faveur ne peut être examinée que sous l'angle de la LEI.</w:t>
      </w:r>
    </w:p>
    <w:p>
      <w:r>
        <w:rPr>
          <w:b/>
        </w:rPr>
        <w:t>E. 8</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9</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w:t>
      </w:r>
    </w:p>
    <w:p>
      <w:r>
        <w:rPr>
          <w:b/>
        </w:rPr>
        <w:t>E. 10</w:t>
      </w:r>
    </w:p>
    <w:p>
      <w:r>
        <w:t>En raison de sa formulation potestative, l'art. 18 LEI ne confère aucun droit à la recourante (arrêts du Tribunal fédéral 2C_798/2018 du 17 septembre 2018 consid.</w:t>
      </w:r>
    </w:p>
    <w:p>
      <w:r>
        <w:rPr>
          <w:b/>
        </w:rPr>
        <w:t>E. 11</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w:t>
      </w:r>
    </w:p>
    <w:p>
      <w:r>
        <w:t>- 8/13 - A/4000/2023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w:t>
      </w:r>
    </w:p>
    <w:p>
      <w:r>
        <w:rPr>
          <w:b/>
        </w:rPr>
        <w:t>E. 12</w:t>
      </w:r>
    </w:p>
    <w:p>
      <w:r>
        <w:t>Selon les directives et circulaires du secrétariat d'État aux migrations (SEM ; Séjour avec activité lucrative [ci-après : directives LEI], état au 1er février 2023,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w:t>
      </w:r>
    </w:p>
    <w:p>
      <w:r>
        <w:rPr>
          <w:b/>
        </w:rPr>
        <w:t>E. 15</w:t>
      </w:r>
    </w:p>
    <w:p>
      <w:r>
        <w:t>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w:t>
      </w:r>
    </w:p>
    <w:p>
      <w:r>
        <w:rPr>
          <w:b/>
        </w:rPr>
        <w:t>E. 16</w:t>
      </w:r>
    </w:p>
    <w:p>
      <w:r>
        <w:t>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arrêts du Tribunal administratif fédéral C-5184/2014 du 31 mars 2016 consid. 5.3.1 ; C-6198/2014 du 18 mai 2015 consid. 6.1 ; C-857/2013 consid. 5).</w:t>
      </w:r>
    </w:p>
    <w:p>
      <w:r>
        <w:rPr>
          <w:b/>
        </w:rPr>
        <w:t>E. 17</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w:t>
      </w:r>
    </w:p>
    <w:p>
      <w:r>
        <w:t>- 10/13 - A/4000/2023 (ATA/1094/2019 du 25 juin 2019 consid. 5c et les arrêts cités ; directives LEI, ch. 4.3.2.1).</w:t>
      </w:r>
    </w:p>
    <w:p>
      <w:r>
        <w:rPr>
          <w:b/>
        </w:rPr>
        <w:t>E. 18</w:t>
      </w:r>
    </w:p>
    <w:p>
      <w:r>
        <w:t>décembre 2017 consid. 6.2 ; F-1992/2015 du 10 mars 2017 consid. 5.5 ; ATA/1094/2019 du 25 juin 2019 consid. 5c).</w:t>
      </w:r>
    </w:p>
    <w:p>
      <w:r>
        <w:rPr>
          <w:b/>
        </w:rPr>
        <w:t>E. 19</w:t>
      </w:r>
    </w:p>
    <w:p>
      <w:r>
        <w:t>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 consid. 8.1 ; ATA/1094/2019 du 25 juin 2019 consid. 5c ; ATA/1368/2018 du 18 décembre 2018 consid. 3c).</w:t>
      </w:r>
    </w:p>
    <w:p>
      <w:r>
        <w:rPr>
          <w:b/>
        </w:rPr>
        <w:t>E. 20</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21</w:t>
      </w:r>
    </w:p>
    <w:p>
      <w:r>
        <w:t>En l’espèce, au vu des écritures des parties et des pièces versées à la procédure, le tribunal parvient à la conclusion que l’OCIRT n’a pas violé les dispositions légales énoncées plus haut ou mésusé de son pouvoir d’appréciation en refusant l'octroi de l’autorisation de travail sollicitée en faveur de la recourante.</w:t>
      </w:r>
    </w:p>
    <w:p>
      <w:r>
        <w:t>- 11/13 - A/4000/2023 Sous l’angle de l’art. 21 al. 1 LEI, force est d’admettre que les démarches, initiées par l'employeur en mars 2023 en vue de trouver un(e) chef(fe) de cuisine marocaine, n’ont effectivement de loin pas atteint le niveau de recherches requis par la loi et la jurisprudence. Il s’est en effet contenté de publier une offre d’emploi sur la plateforme Job-Room, dont la portée est essentiellement nationale, ce après avoir toutefois déjà signé un contrat de durée déterminée avec l’intéressée, puis d’annoncer la vacance du poste à l’OCE le 19 mai 2023. Or, de telles démarches ne suffisent pas, en l’état des règles en vigueur, pour considérer que la société recourante se serait acquittée de ses obligations légales en matière de priorité du marché suisse ou européen. On observera par ailleurs que la recourante a signé son contrat de travail le 1er juin 2023, soit moins de deux semaines après l'annonce du poste à l'OCE, ce qui souligne la brièveté - et l’insuffisance - du temps que l'employeur a consacré à la recherche effective d’un candidat. Compte tenu des difficultés que ce dernier allègue avoir rencontrées pour trouver un/e cuisinier/ère remplissant les conditions requises par le poste, il lui aurait appartenu d’entreprendre des recherches bien plus poussées et de plus grande envergure sur les marchés du travail tant suisse que de l’UE/AELE, par exemple en faisant appel à des agences de recrutement et en publiant des annonces sur des sites internet spécialisés, en Suisse et en Europe, et dans la presse spécialisée. Au demeurant, on ne voit pas en quoi la recourante, titulaire d'une formation en horlogerie et en broderie, même si elle indique désormais être au bénéfice d’un diplôme de technicien du centre professionnel d’hôtellerie option cuisine pour la session 2006/2008 - diplôme dont elle n’avait étonnamment pas fait état lors de sa précédente demande de permis pour un poste similaire (JTAPI/834/2021 du 25 août 2021) -, présenterait des qualifications et une expérience si particulières qu’il serait impossible pour l'employeur de recruter un autre travailleur doté des capacités requises sur le marché local ou européen, quitte à ce qu'il bénéficie d'un complément de formation. Dans ces conditions, force est de retenir, avec l’autorité intimée, que la recourante n’est pas parvenue à démontrer que l'employeur aurait réellement et concrètement été dans l’impossibilité de trouver un travailleur correspondant aux exigences du poste sur le marché local ou européen. Enfin, même en retenant que la recherche d’un candidat ayant des connaissances en cuisine marocaine serait particulièrement ardue, cette difficulté ne saurait à elle seule justifier une exception au principe de la priorité dans le recrutement énoncé par la loi. S'il est peut-être difficile de trouver des candidats indigènes répondant aux exigences de la recourante, on peut penser qu'il n'y a pas de réelles difficultés à trouver, dans un certain nombre de pays de l'UE, laquelle comprend maintenant 28 membres, une personne ayant les qualifications requises (cf. ATA/53/2020 du 21 janvier 2020 consid. 5).</w:t>
      </w:r>
    </w:p>
    <w:p>
      <w:r>
        <w:rPr>
          <w:b/>
        </w:rPr>
        <w:t>E. 22</w:t>
      </w:r>
    </w:p>
    <w:p>
      <w:r>
        <w:t>Le principe de priorité n’ayant pas été respecté, il n'est pas nécessaire d'examiner si les autres conditions cumulatives posées par l’art. 18 LEI sont réalisées.</w:t>
      </w:r>
    </w:p>
    <w:p>
      <w:r>
        <w:t>- 12/13 - A/4000/2023</w:t>
      </w:r>
    </w:p>
    <w:p>
      <w:r>
        <w:rPr>
          <w:b/>
        </w:rPr>
        <w:t>E. 23</w:t>
      </w:r>
    </w:p>
    <w:p>
      <w:r>
        <w:t>Cela étant, on relèvera qu'aucun élément du dossier ne permet de considérer que l’activité de cuisinière que la recourante, aussi compétente soit-elle (ce qui ne saurait en soi être remise en cause), serait amenée à déployer au sein de l’établissement de B______ pourrait réellement avoir des retombées économiques positives pour l’économie suisse et, ainsi, représenter un intérêt pour la Suisse au sens de l’art. 18 let. a LEI, tel que défini plus haut, que ce soit en termes de création de places de travail, d'investissements ou de diversification de l'économie régionale, étant rappelé qu'il convient de ne pas confondre l’intérêt économique de la Suisse avec celui de l'employeur à engager une personne particulière.</w:t>
      </w:r>
    </w:p>
    <w:p>
      <w:r>
        <w:rPr>
          <w:b/>
        </w:rPr>
        <w:t>E. 24</w:t>
      </w:r>
    </w:p>
    <w:p>
      <w:r>
        <w:t>Au vu de ce qui précède, le tribunal considère que la décision querellée ne viole pas le droit fédéral.</w:t>
      </w:r>
    </w:p>
    <w:p>
      <w:r>
        <w:rPr>
          <w:b/>
        </w:rPr>
        <w:t>E. 25</w:t>
      </w:r>
    </w:p>
    <w:p>
      <w:r>
        <w:t>Mal fondé, les recours seront rejetés.</w:t>
      </w:r>
    </w:p>
    <w:p>
      <w:r>
        <w:rPr>
          <w:b/>
        </w:rPr>
        <w:t>E. 26</w:t>
      </w:r>
    </w:p>
    <w:p>
      <w:r>
        <w:t>En application des art. 87 al. 1 LPA et 1 et 2 du règlement sur les frais, émoluments et indemnités en procédure administrative du 30 juillet 1986 (RFPA - E 5 10.03), les recourantes, qui succombent, sont condamnées au paiement d’un émolument s'élevant à CHF 500.-, chacune. Il est couvert par les avances de frais versées à la suite du dépôt du recours.</w:t>
      </w:r>
    </w:p>
    <w:p>
      <w:r>
        <w:rPr>
          <w:b/>
        </w:rPr>
        <w:t>E. 27</w:t>
      </w:r>
    </w:p>
    <w:p>
      <w:r>
        <w:t>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SEM.</w:t>
      </w:r>
    </w:p>
    <w:p>
      <w:r>
        <w:t>- 13/13 - A/4000/2023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