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JTAPI/271/2023 vom 9. März 2023</w:t>
      </w:r>
    </w:p>
    <w:p>
      <w:r>
        <w:t>GE Cour de justice, 2023-03-09, FR</w:t>
      </w:r>
    </w:p>
    <w:p>
      <w:r>
        <w:rPr>
          <w:b/>
        </w:rPr>
        <w:t xml:space="preserve">Quelle: </w:t>
      </w:r>
      <w:r>
        <w:t>https://mcp.opencaselaw.ch/entscheid/ge_gerichte_JTAPI_271_2023</w:t>
      </w:r>
    </w:p>
    <w:p>
      <w:r>
        <w:t>FR: GE_GERICHTE JTAPI/271/2023 du 9 mars 2023</w:t>
      </w:r>
    </w:p>
    <w:p>
      <w:r>
        <w:t>IT: GE_GERICHTE JTAPI/271/2023 del 9 marzo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145 al. 2 LCI et 60 ss de la loi sur la procédure administrative du 12 septembre 1985 (LPA - E 5 10).</w:t>
      </w:r>
    </w:p>
    <w:p>
      <w:r>
        <w:rPr>
          <w:b/>
        </w:rPr>
        <w:t>E. 3</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w:t>
      </w:r>
    </w:p>
    <w:p>
      <w:r>
        <w:rPr>
          <w:b/>
        </w:rPr>
        <w:t>E. 4</w:t>
      </w:r>
    </w:p>
    <w:p>
      <w:r>
        <w:t>L’art. 2 al. 2 LCI délègue au Conseil d’État, par le biais du règlement d’application que ce dernier doit édicter, le soin de déterminer les pièces qui doivent être déposées par les personnes demandant une autorisation de construire.</w:t>
      </w:r>
    </w:p>
    <w:p>
      <w:r>
        <w:rPr>
          <w:b/>
        </w:rPr>
        <w:t>E. 5</w:t>
      </w:r>
    </w:p>
    <w:p>
      <w:r>
        <w:t>En application de cette disposition, cette autorité a prévu que toutes les demandes d’autorisation de construire devaient être datées et signées par le propriétaire de</w:t>
      </w:r>
    </w:p>
    <w:p>
      <w:r>
        <w:t>- 6/7 - A/2185/2022 l’immeuble intéressé, ainsi que par le requérant ou l’éventuel mandataire professionnellement qualifié (art. 11 al. 4 RCI).</w:t>
      </w:r>
    </w:p>
    <w:p>
      <w:r>
        <w:rPr>
          <w:b/>
        </w:rPr>
        <w:t>E. 6</w:t>
      </w:r>
    </w:p>
    <w:p>
      <w:r>
        <w:t>Une requête déposée en vue de la délivrance d'une autorisation de construire doit en effet émaner - ou du moins avoir l’assentiment et sans équivoque -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(cf. ATA/1459/2019 du 1er octobre 2019 consid. 2 ; ATA/1157/2018 du 30 octobre 2018 consid. 5g et l'arrêt cité ; ATA/321/2018 du 10 avril 2018 consid. 3b ; ATA/500/2011 du 27 juillet 2011 ; cf. aussi arrêts du Tribunal fédéral 1C_846/2013 du 24 juin 2014 consid. 7.2 ; 1C_7/2009 du 20 août 2009 consid. 5.2). Ainsi, la signature du propriétaire du fonds a également pour but d'obtenir l'assurance que celui qui a la maîtrise juridique du fonds consent aux travaux et à tous les effets de droit public qui en découlent (arrêt du Tribunal fédéral 1C_7/2009 du 20 août 2009 consid. 5.2 ; ATA/461/2020 du 7 mai 2020 consid. 5c, faisant l'objet d'un recours au Tribunal fédéral, cause 1C_341/2020).</w:t>
      </w:r>
    </w:p>
    <w:p>
      <w:r>
        <w:rPr>
          <w:b/>
        </w:rPr>
        <w:t>E. 7</w:t>
      </w:r>
    </w:p>
    <w:p>
      <w:r>
        <w:t>Les conditions nécessaires à la délivrance d’une autorisation de construire doivent être réalisées non seulement lors du dépôt de la demande et de la délivrance de l’autorisation, mais aussi pendant la durée des éventuelles procédures de recours. Ultérieurement, la modification de certaines des exigences - notamment législative - peut fonder la révocation de l’autorisation en question (ATA/1006/2015 du 29 septembre 2015 consid. 4 et les arrêts cités).</w:t>
      </w:r>
    </w:p>
    <w:p>
      <w:r>
        <w:rPr>
          <w:b/>
        </w:rPr>
        <w:t>E. 8</w:t>
      </w:r>
    </w:p>
    <w:p>
      <w:r>
        <w:t>En l’espèce, la commune a signé la requête d'autorisation de construire en 2018 puis elle s'est déclarée défavorable au projet dans l'attente d'un rapport de l'OFEV. Mais surtout, il ressort explicitement de son recours qu'elle s'oppose désormais fermement au projet, manifestant par là qu'elle retire son accord. En conséquence, l’une des conditions nécessaires au dépôt de la requête en autorisation de construire n’est plus remplie, ce qui interdit le maintien de cette autorisation.</w:t>
      </w:r>
    </w:p>
    <w:p>
      <w:r>
        <w:rPr>
          <w:b/>
        </w:rPr>
        <w:t>E. 9</w:t>
      </w:r>
    </w:p>
    <w:p>
      <w:r>
        <w:t>Au vu de ce qui précède, le recours sera admis et l’autorisation de construire litigieuse sera annulée.</w:t>
      </w:r>
    </w:p>
    <w:p>
      <w:r>
        <w:rPr>
          <w:b/>
        </w:rPr>
        <w:t>E. 10</w:t>
      </w:r>
    </w:p>
    <w:p>
      <w:r>
        <w:t>Vu cette issue, l'avance de frais versée par la recourante lui sera restituée. Un émolument de CHF 700.- sera mis à la charge de B______. Aucune indemnité de procédure ne sera allouée à la recourante dès lors qu'elle compte plus de dix mille habitants. Celle-ci est en effet réputée disposer de son propre service juridique et ne pas avoir à recourir pour le présent type de procédure, au service d'un mandataire extérieur (art. 87 al. 2 LPA; ATA/1104/2020 du 3 novembre 2020 consid. 5 et jurisprudence citée).</w:t>
      </w:r>
    </w:p>
    <w:p>
      <w:r>
        <w:t>- 7/7 - A/2185/2022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