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JTAPI/269/2025 vom 3. März 2021</w:t>
      </w:r>
    </w:p>
    <w:p>
      <w:r>
        <w:t>GE Cour de justice, 2021-03-03, FR</w:t>
      </w:r>
    </w:p>
    <w:p>
      <w:r>
        <w:rPr>
          <w:b/>
        </w:rPr>
        <w:t xml:space="preserve">Quelle: </w:t>
      </w:r>
      <w:r>
        <w:t>https://mcp.opencaselaw.ch/entscheid/ge_gerichte_JTAPI_269_2025</w:t>
      </w:r>
    </w:p>
    <w:p>
      <w:r>
        <w:t>FR: GE_GERICHTE JTAPI/269/2025 du 3 mars 2021</w:t>
      </w:r>
    </w:p>
    <w:p>
      <w:r>
        <w:t>IT: GE_GERICHTE JTAPI/269/2025 del 3 marzo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- 4/8 - A/492/2025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48 al. 1 LPA, les demandes en reconsidération de décisions prises par les autorités administratives sont recevables lorsque (let. a) un motif de révision au sens de l’article 80, lettres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4</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5</w:t>
      </w:r>
    </w:p>
    <w:p>
      <w:r>
        <w:t>Saisie d'une demande de réexamen, l'autorité doit procéder en deux étapes : elle examine d'abord la pertinence du fait nouveau invoqué, sans ouvrir d'instruction sur le fond du litige, et décide ou non d'entrer en matière. Un recours contre cette</w:t>
      </w:r>
    </w:p>
    <w:p>
      <w:r>
        <w:t>- 5/8 - A/492/2025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rPr>
          <w:b/>
        </w:rPr>
        <w:t>E. 6</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C- 1545/2008 du 8 juillet 2008 consid. 5 ; C-7483/2006 du 19 juin 2007 consid. 6 ; C- 1798/2006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w:t>
      </w:r>
    </w:p>
    <w:p>
      <w:r>
        <w:t>- 6/8 - A/492/2025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w:t>
      </w:r>
    </w:p>
    <w:p>
      <w:r>
        <w:rPr>
          <w:b/>
        </w:rPr>
        <w:t>E. 7</w:t>
      </w:r>
    </w:p>
    <w:p>
      <w:r>
        <w:t>En l'espèce, les recourants ont entièrement fondé leur demande de reconsidération du 16 septembre 2024 sur le fait qu'ils remplissaient à présent la condition d'une durée de séjour de cinq ans, suffisante selon eux pour l'octroi d'une autorisation de séjour pour les familles avec enfants scolarisés en Suisse. Ils ont ensuite complété cette argumentation dans le cadre de leur recours dans la présente procédure, se référant également à leur bonne intégration, qui découlait de leur maîtrise de la langue française, du fait d'un emploi stable depuis plusieurs années, de la scolarisation des enfants dans le canton de Genève et enfin du fait qu'ils étaient financièrement indépendants et n'avaient pas de dettes.</w:t>
      </w:r>
    </w:p>
    <w:p>
      <w:r>
        <w:rPr>
          <w:b/>
        </w:rPr>
        <w:t>E. 8</w:t>
      </w:r>
    </w:p>
    <w:p>
      <w:r>
        <w:t>Or, non seulement ces différents éléments ne permettent pas de retenir que les recourants rempliraient désormais « incontestablement » les conditions d'octroi d'une autorisation de séjour pour cas individuel d'extrême gravité selon les art. 30 al. 1 let. b de la loi fédérale sur les étrangers et l'intégration du 16 décembre 2005 (LEI - RS 142.20) et 30 al. 1 de l'ordonnance relative à l'admission, au séjour et à l'exercice d'une activité lucrative du 24 octobre 2007 (OASA - RS 142.201) – étant souligné que ces dispositions légales requièrent une intégration hors norme et non pas simplement une intégration réussie –, mais surtout, les éléments sur lesquels ils se fondent pour plaider la réussite de leur intégration en Suisse découlent entièrement du temps écoulé depuis l'entrée en force de la décision de renvoi rendue à leur encontre le 3 mars 2021, et de leur persistance à ne pas s'y soumettre - alors que cette obligation leur avait été rappelée à de nombreuses reprises par la suite. Conformément à la jurisprudence rappelée plus haut, cette évolution de la situation en lien avec leur persistance à ne pas respecter leur devoir de quitter la Suisse ne peut pas justifier une entrée en matière sur une demande de reconsidération et peut même être considérée comme un procédé dilatoire. C'est donc tout à fait à raison que l'autorité intimée a refusé d'entrer en matière sur leur demande de reconsidération.</w:t>
      </w:r>
    </w:p>
    <w:p>
      <w:r>
        <w:rPr>
          <w:b/>
        </w:rPr>
        <w:t>E. 9</w:t>
      </w:r>
    </w:p>
    <w:p>
      <w:r>
        <w:t>Le tribunal soulignera encore que le recourant prétend avoir le droit de circuler librement dans l'espace Schengen, sans apporter la preuve qu'il aurait obtenu le renouvellement du titre de séjour portugais sur lequel il fonde cette prétention, dont</w:t>
      </w:r>
    </w:p>
    <w:p>
      <w:r>
        <w:t>- 7/8 - A/492/2025 la validité est pourtant arrivée à échéance le 7 novembre 2024. Quant à la perspective de l'obtention de la nationalité portugaise, les documents qu'il a produits à cet égard (pièce n° 14 de son bordereau) ne font état d'aucune évolution depuis 2022.</w:t>
      </w:r>
    </w:p>
    <w:p>
      <w:r>
        <w:rPr>
          <w:b/>
        </w:rPr>
        <w:t>E. 10</w:t>
      </w:r>
    </w:p>
    <w:p>
      <w:r>
        <w:t>Au vu de ce qui précède, le recours, infondé, sera rejeté. Pour cette raison, la requête de restitution de l'effet suspensif accompagnant le recours devient sans objet.</w:t>
      </w:r>
    </w:p>
    <w:p>
      <w:r>
        <w:rPr>
          <w:b/>
        </w:rPr>
        <w:t>E. 11</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500.-. Vu l’issue du litige, aucune indemnité de procédure ne sera allouée (art. 87 al. 2 LPA).</w:t>
      </w:r>
    </w:p>
    <w:p>
      <w:r>
        <w:rPr>
          <w:b/>
        </w:rPr>
        <w:t>E. 12</w:t>
      </w:r>
    </w:p>
    <w:p>
      <w:r>
        <w:t>En vertu des art. 89 al. 2 et 111 al. 2 de la loi sur le Tribunal fédéral du 17 juin 2005 (LTF - RS 173.110), le présent jugement sera communiqué au secrétariat d'État aux migrations.</w:t>
      </w:r>
    </w:p>
    <w:p>
      <w:r>
        <w:t>- 8/8 - A/492/2025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