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JTAPI/269/2023 vom 16. April 2014</w:t>
      </w:r>
    </w:p>
    <w:p>
      <w:r>
        <w:t>GE Cour de justice, 2014-04-16, FR</w:t>
      </w:r>
    </w:p>
    <w:p>
      <w:r>
        <w:rPr>
          <w:b/>
        </w:rPr>
        <w:t xml:space="preserve">Quelle: </w:t>
      </w:r>
      <w:r>
        <w:t>https://mcp.opencaselaw.ch/entscheid/ge_gerichte_JTAPI_269_2023</w:t>
      </w:r>
    </w:p>
    <w:p>
      <w:r>
        <w:t>FR: GE_GERICHTE JTAPI/269/2023 du 16 avril 2014</w:t>
      </w:r>
    </w:p>
    <w:p>
      <w:r>
        <w:t>IT: GE_GERICHTE JTAPI/269/2023 del 16 aprile 2014</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w:t>
      </w:r>
    </w:p>
    <w:p>
      <w:r>
        <w:t>- 14/30 - A/450/2019 du 26 septembre 2010 - LOJ - E 2 05 ; art. 3 al. 1 de la loi d'application de la loi fédérale sur les étrangers du 16 juin 1988 - LaLEtr - F 2 10).</w:t>
      </w:r>
    </w:p>
    <w:p>
      <w:r>
        <w:rPr>
          <w:b/>
        </w:rPr>
        <w:t>E. 2</w:t>
      </w:r>
    </w:p>
    <w:p>
      <w:r>
        <w:t>Interjetés en temps utile et dans les formes prescrites devant la juridiction compétente, les recours sont recevables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3.3</w:t>
      </w:r>
    </w:p>
    <w:p>
      <w:r>
        <w:t>;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7. 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 8. En l'occurrence, la requête ayant fait l’objet de la décision du 20 décembre 2018 (demande d’autorisation de séjour pour traitement médical, respectivement pour cas de rigueur) a été déposée en juillet 2014, de sorte que c’est l’ancien droit qui s’applique à ce volet du litige. S’agissant de la requête ayant fait l’objet de la décision du 20 septembre 2022 (demande d’autorisation de séjour au titre de regroupement familial), elle a été déposée le 31 janvier 2019. Cette demande est donc régie par le nouveau droit. Cette distinction apparaît cependant théorique, les principes régissant les deux cas de figure n'ayant pas connu de modification substantielle.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t>- 16/30 - A/450/2019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2C_323/2018 du 21 septembre 2018 consid. 8.3.3 ; 2C_767/2015 du 19 février 2016 consid. 5.3.1).</w:t>
      </w:r>
    </w:p>
    <w:p>
      <w:r>
        <w:t>- 15/30 - A/450/2019</w:t>
      </w:r>
    </w:p>
    <w:p>
      <w:r>
        <w:rPr>
          <w:b/>
        </w:rPr>
        <w:t>E. 4.3</w:t>
      </w:r>
    </w:p>
    <w:p>
      <w:r>
        <w:t>Sur l’abus de droit dans le cadre de l’application de l’ALCP, cf. arrêts 2C_195/2011 du 17 octobre 2011, cons. 4.3, et 2C_767/2013 du 6 mars 2014, cons. 3.3. Sur la nécessité de maintenir la communauté familiale et l’existence d’une telle communauté avant le dépôt de la demande, cf. également l’arrêt 2C_71/2016 du 14 novembre 2016, cons. 3.5 et 3.6 ; directives OLCP, ch. II. 7.5.3).</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w:t>
      </w:r>
    </w:p>
    <w:p>
      <w:r>
        <w:rPr>
          <w:b/>
        </w:rPr>
        <w:t>E. 6</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w:t>
      </w:r>
    </w:p>
    <w:p>
      <w:r>
        <w:rPr>
          <w:b/>
        </w:rPr>
        <w:t>E. 10</w:t>
      </w:r>
    </w:p>
    <w:p>
      <w:r>
        <w:t>Selon l’art. 29 LEI, un étranger peut être admis en vue d’un traitement médical si le financement et le départ de Suisse sont garantis.</w:t>
      </w:r>
    </w:p>
    <w:p>
      <w:r>
        <w:rPr>
          <w:b/>
        </w:rPr>
        <w:t>E. 11</w:t>
      </w:r>
    </w:p>
    <w:p>
      <w:r>
        <w:t>Même lorsque les conditions posées à cet article sont cumulativement remplies, l’étranger ne dispose pas d’un droit à la délivrance d’une autorisation de séjour pour suivre un traitement médical en Suisse, l’art. 29 LEI étant rédigé en la forme potestative (« Kann-Vorschrift »), sauf à pouvoir se prévaloir d’une disposition particulière du droit fédéral ou d’un traité lui conférant un tel droit (arrêt du Tribunal administratif fédéral F-235/2018 du 4 avril 2019 consid. 6.1), ce qui n’est pas le cas en l’espèce. Ainsi, même si toutes les conditions de l’art. 29 LEI sont remplies, l’étranger qui sollicite une telle autorisation ne bénéficie pas d’un droit à l’obtenir et les conditions posées à l’article précité ont pour seul effet d’exclure l’octroi d’un permis de séjour à celui qui n’y satisfait pas.</w:t>
      </w:r>
    </w:p>
    <w:p>
      <w:r>
        <w:rPr>
          <w:b/>
        </w:rPr>
        <w:t>E. 12</w:t>
      </w:r>
    </w:p>
    <w:p>
      <w:r>
        <w:t>L’autorisation de séjour pour traitement médical est une autorisation de courte durée. Elle peut ainsi être octroyée pour une durée limitée d’une année au plus (art. 32 al. 1 LEI). Une prolongation jusqu’à une durée totale de deux ans est toutefois envisageable (art. 32 al. 3 LEI).</w:t>
      </w:r>
    </w:p>
    <w:p>
      <w:r>
        <w:rPr>
          <w:b/>
        </w:rPr>
        <w:t>E. 13</w:t>
      </w:r>
    </w:p>
    <w:p>
      <w:r>
        <w:t>La notion de traitement médical au sens de l’art. 29 LEI doit être interprétée de manière large : sont ainsi également assimilés à un traitement médical, un séjour de réhabilitation faisant suite à une maladie et une cure. Selon la doctrine, la nécessité d’un traitement médical en Suisse n’est plus une condition d’application de l’art. 29 LEI. Un simple souhait suffit (arrêt du Tribunal administratif fédéral F-235/2018 du 4 avril 2019 consid. 6.4 et références citées). Par ailleurs,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Ainsi par exemple, le départ de Suisse n’est pas assuré lorsque l’intéressé doit suivre un traitement médical sur une longue période (cinq à dix ans) et que la fin de son séjour envisagé en Suisse n’est pas clairement définie (arrêt du Tribunal administratif fédéral F-235/2018 du 4 avril 2019 consid. 6.6 et les références citées).</w:t>
      </w:r>
    </w:p>
    <w:p>
      <w:r>
        <w:rPr>
          <w:b/>
        </w:rPr>
        <w:t>E. 14</w:t>
      </w:r>
    </w:p>
    <w:p>
      <w:r>
        <w:t>En l’espèce, séjournant en Suisse depuis avril 2014, soit depuis près de neuf ans, la recourante ne remplit à l’évidence pas les conditions de durée de l’art. 32 al. 1 et 3 LEI. En outre, dans la mesure où elle souhaite désormais demeurer en Suisse puisqu’elle requiert la délivrance d’une autorisation de séjour pour cas de rigueur, respectivement au titre du regroupement familial, en invoquant par ailleurs le</w:t>
      </w:r>
    </w:p>
    <w:p>
      <w:r>
        <w:t>- 17/30 - A/450/2019 caractère non raisonnablement exigible de son renvoi de Suisse, il convient de retenir que son retour au Cameroun n’est manifestement pas garanti. C’est ainsi à juste titre que l’OCPM a écarté la possibilité de lui octroyer une autorisation de séjour pour traitement médical, ce qui n’est du reste pas contesté.</w:t>
      </w:r>
    </w:p>
    <w:p>
      <w:r>
        <w:rPr>
          <w:b/>
        </w:rPr>
        <w:t>E. 15</w:t>
      </w:r>
    </w:p>
    <w:p>
      <w:r>
        <w:t>La recourante se prévaut de son état de santé pour solliciter une autorisation de séjour pour cas de rigueur.</w:t>
      </w:r>
    </w:p>
    <w:p>
      <w:r>
        <w:rPr>
          <w:b/>
        </w:rPr>
        <w:t>E. 16</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w:t>
      </w:r>
    </w:p>
    <w:p>
      <w:r>
        <w:rPr>
          <w:b/>
        </w:rPr>
        <w:t>E. 17</w:t>
      </w:r>
    </w:p>
    <w:p>
      <w:r>
        <w:t>L'art. 31 al. 1 OASA, qui fixe les critères déterminants pour la reconnaissance d'un cas individuel d'extrême gravité au sens de la disposition précitée,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l'Etat de provenance (let. g). Ces critères, qui doivent impérativement être respectés, ne sont toutefois pas exhaustifs (cf.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18</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arrêt du Tribunal fédéral 2C_602/2019 du 25 juin 2019 consid. 3.3 ; ATA/121/2021 du 2 février 2021 consid. 7c).</w:t>
      </w:r>
    </w:p>
    <w:p>
      <w:r>
        <w:rPr>
          <w:b/>
        </w:rPr>
        <w:t>E. 19</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w:t>
      </w:r>
    </w:p>
    <w:p>
      <w:r>
        <w:t>- 18/30 - A/450/2019 place, auxquelles les personnes concernées pourraient être également exposées à leur retour, sauf si celles-ci allèguent d’importantes difficultés concrètes propres à leur cas particulier (arrêt du Tribunal administratif fédéral F-6616/2017 du 26 novembre 2019 consid. 6.5 et références citées).</w:t>
      </w:r>
    </w:p>
    <w:p>
      <w:r>
        <w:rPr>
          <w:b/>
        </w:rPr>
        <w:t>E. 20</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rPr>
          <w:b/>
        </w:rPr>
        <w:t>E. 25</w:t>
      </w:r>
    </w:p>
    <w:p>
      <w:r>
        <w:t>En l'espèce, au vu de l'examen circonstancié du dossier et des pièces versées à la procédure, le tribunal considère que la recourante ne satisfait pas aux conditions strictes requises pour la reconnaissance d'un cas de rigueur. Arrivée en Suisse en avril 2014, la recourante y séjourne depuis bientôt neuf ans. Si la durée de ce séjour peut certes être considérée comme longue, elle doit toutefois être relativisée. Il importe en effet de rappeler à ce sujet que la durée d'un séjour illégal ou précaire ne doit normalement pas être prise en considération ou alors seulement dans une mesure très restreinte (cf. notamment ATF 130 II 39 consid. 3, ATAF 2007/45 consid. 4.4 et 6.3 et 2007/44 consid. 5.2). Or, dans le cas particulier, la recourante séjourne en Suisse sans être au bénéfice d’une quelconque autorisation depuis l’échéance de son visa le 14 juillet 2014 et son séjour se déroule depuis lors à la seule faveur d’une tolérance de l’autorité intimée. Dans ces circonstances, la durée de présence de la recourante en Suisse ne saurait suffire, à elle seule, pour justifier la reconnaissance d'un cas individuel d'une extrême gravité. La recourante étant arrivée en Suisse à l’âge de 62 ans, son intégration ne peut en aucun cas être qualifiée d’exceptionnelle. Elle n’y a pas travaillé, n’y a acquis aucune formation particulière et n’a fait état, sur le plan social, d’aucun engagement particulier, notamment amical ou associatif, qui traduirait un profond enracinement dans la vie de la citée. Elle ne disposerait en outre d’aucun moyen financier et serait entièrement la charge de sa famille. À cet égard, le tribunal relève que si elle n’a pas été aidée financièrement par l’Hospice général – à tout le moins jusqu’en avril 2017 selon l’attestation de l’Hospice général figurant au dossier –, une future dépendance à l’aide sociale n’est pas exclue vu la situation familiale et financière de ses deux fils. En effet, M. C______, marié et père de cinq enfants, dont le plus jeune a tout juste onze mois, toucherait, ainsi que sa femme, des prestations de l’Hospice général selon les informations de l’OCPM. Quant à M. D______, également marié, il a contracté d’importantes dettes depuis 2019 (pour un total de plus de CHF 46'000.-). Le tribunal relève encore que malgré le soutien de sa famille, la recourante a elle-même fait l’objet de poursuites et d’actes de défaut de biens pour un montant total de plus de CHF 16'800.- entre 2016 et 2021 (cf. extrait du registre des poursuites du 4 mai 2022). Enfin, sur le plan médical, il ressort du dossier que la recourante est connue pour des antécédents d’AVC séquellaires (2003 et 2014, pris en charge au Cameroun), ainsi qu’une HTA, traitée de longue date et bien contrôlée. À son arrivée en Suisse, une gonarthrose gauche lui a été diagnostiquée et le traitement, consistant en la pose d’une prothèse totale du genou gauche, a été effectué en août 2017 (cf. lettre de sortie des HUG du 22 août 2017), étant relevé que les rapports médicaux établis antérieurement posaient un pronostic favorable avec cette intervention (avec diminution de la douleur et augmentation de l’indépendance de vie). En juin et août 2016, la recourante a également subi deux interventions chirurgicales pour</w:t>
      </w:r>
    </w:p>
    <w:p>
      <w:r>
        <w:t>- 21/30 - A/450/2019 un cancer épidermoïde micro-invasif du col de l’utérus, avec un statut en ordre (absence de signes de récidive ou de déhiscence) à deux ans et deux mois de la fin du traitement, selon les derniers rapports médicaux versés au dossier (cf. rapports cytologique et de consultation onco-gynécologique chirurgicale du 4 octobre 2018). Enfin, en janvier 2022, une pseudo-hypoparathyroïdie lui a été diagnostiquée, provoquant une hypocalcémie, traitée avec une supplémentation vitamino-calcique. Selon le rapport médical du 24 février 2022, son évolution, suite à ce traitement, est lente mais favorable, étant précisé que son état général a été qualifié de « conservé ». S’agissant du traitement nécessaire, il se compose de la prise d’anticoagulation thérapeutique (à vie), de contrôles réguliers (trois à quatre fois par année) en endocrinologie et en cardiologie, d’une évaluation régulière en orthopédie, ainsi que de la poursuite d’un traitement médicamenteux composé de Coverma (hypertension), de Calcimagon (ostéoporose) et de Magnesiocard (troubles du rythme cardiaque). Sans minimiser aucunement les problèmes de santé de la recourante, le tribunal doit constater que son état actuel est stable et que certaines affections sont désormais traitées, voire guéries, même si un suivi reste nécessaire. Rien au dossier n’indique par ailleurs que ce suivi ne pourrait pas continuer au Cameroun, où elle était déjà prise en charge depuis 2003. Au surplus, la recourante n’a pas démontré l’indisponibilité ou l’impossibilité d’avoir accès aux soins et médicaments dont elle a besoin dans son pays d’origine, étant rappelé que, conformément à la jurisprudence, le seul fait d’obtenir en Suisse des prestations médicales supérieures à celles offertes dans le pays d’origine ne suffit pas à justifier une exception aux mesures de limitation du nombre des étrangers, ce d’autant que la recourante était déjà atteinte dans sa santé lors de son arrivée en Suisse. Quoi qu’il en soit, la nécessité de sa présence en Suisse, à des fins médicales, n’est nullement démontrée, pas plus que la présence constante de ses proches à ses côtés, même s’il est indéniable qu’à son âge et dans ses conditions de santé, un soutien familial est sans doute important. À cet égard, il convient de relever que l’intéressée a encore de la famille au Cameroun, notamment deux de ses filles, sur la présence desquelles elle devrait pouvoir compter en cas de retour au pays. Elle pourra également certainement encore compter sur le soutien financier de sa famille qui la prend déjà en charge en Suisse (et le faisait déjà avant sa venue en 2014). En tout état, l'état de santé actuel de la recourante ne justifie pas à lui seul l'octroi d'une autorisation de séjour pour cas individuel d'une extrême gravité, dès lors que les autres conditions ne sont pas remplies. Ainsi, au vu de l’ensemble des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w:t>
      </w:r>
    </w:p>
    <w:p>
      <w:r>
        <w:t>- 22/30 - A/450/2019 résultat en fonction d’une autre conception, sauf à statuer en opportunité, ce que la loi lui interdit de faire (art. 61 al. 2 LPA).</w:t>
      </w:r>
    </w:p>
    <w:p>
      <w:r>
        <w:rPr>
          <w:b/>
        </w:rPr>
        <w:t>E. 26</w:t>
      </w:r>
    </w:p>
    <w:p>
      <w:r>
        <w:t>La recourante sollicite une autorisation de séjour au titre du regroupement familial sur la base de l’ALCP.</w:t>
      </w:r>
    </w:p>
    <w:p>
      <w:r>
        <w:rPr>
          <w:b/>
        </w:rPr>
        <w:t>E. 27</w:t>
      </w:r>
    </w:p>
    <w:p>
      <w:r>
        <w:t>Il sied au préalable de rappeler que l'ALCP a pour objectif de réaliser la libre circulation des personnes en s'appuyant sur les dispositions en application dans la Communauté européenne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C'est donc avant tout en fonction de ce but qu'il y a lieu de dégager le contenu et la portée du droit au regroupement familial inscrit à l'art. 7 let. d ALCP.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Le Tribunal fédéral considère ainsi que l'art. 3 de l'Annexe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arrêts du Tribunal fédéral F-5168/2017 du 8 avril 2019 consid. 6.1 et les références citées ; 2A.238/2003 consid. 5.2.3 et 5.2.4).</w:t>
      </w:r>
    </w:p>
    <w:p>
      <w:r>
        <w:rPr>
          <w:b/>
        </w:rPr>
        <w:t>E. 28</w:t>
      </w:r>
    </w:p>
    <w:p>
      <w:r>
        <w:t>Selon l’art. 3 par. 1 annexe I ALCP, en relation avec l’art. 7 let. d ALCP, les membres de la famille d’une personne ressortissant d’une partie contractante ayant un droit de séjour ont le droit de s’installer avec elle, à condition que celle- ci dispose d’un logement approprié. Sont notamment considérés comme membres de la famille, quelle que soit leur nationalité, les ascendants de cette personne ou ceux de son conjoint qui sont à sa charge (art. 3 par. 2 let. b annexe I ALCP). La disposition précitée subordonne également le droit au regroupement familial des ascendants à la condition que leur entretien soit garanti (ATF 135 II 369 consid. 3.1). Les demandes de regroupement familial déposées pour les ascendants ou descendants âgés de 21 ans et plus doivent en principe être rejetées lorsque les revenus ne permettent pas de subvenir aux besoins de la famille et que des</w:t>
      </w:r>
    </w:p>
    <w:p>
      <w:r>
        <w:t>- 23/30 - A/450/2019 prestations sociales sont ou devraient être délivrées. Dans de tels cas, on ne saurait considérer que l’entretien des membres de la famille est garanti conformément à l’art. 3 par. 2 let. a et b annexe I ALCP (cf. ch. 7.2 et 7.6 des directives et commentaires concernant l'ordonnance sur la libre circulation des personnes édictées par le SEM, état en janvier 2023, ci-après : directives OLCP). L’indigence de la personne à charge doit être effective et prouvée (art. 3 par. 3 let. c annexe I ALCP). Pour ce faire, les autorités d’application peuvent exiger une attestation des autorités du pays d’origine ou de provenance prouvant le lien de parenté et - le cas échéant - le soutien accordé (art. 3 par. 3 annexe I ALCP). La qualité de membre de la famille à charge résulte d’une situation de fait caractérisée par la circonstance que le soutien matériel de membre de la famille est assurée par le ressortissant communautaire ayant fait usage de la liberté de circulation. Afin de déterminer si les ascendants d’un ressortissant communautaire ou ceux de son conjoint sont à charge, l’État membre d’accueil doit apprécier si, eu égard à leurs conditions économiques et sociales, lesdits ascendants ne sont pas en mesure de subvenir à leurs besoins essentiels. La nécessité du soutien matériel doit exister dans l’État d’origine ou de provenance de ces ascendants au moment où ils demandent à rejoindre ledit ressortissant communautaire (cf. ATF 135 II 369, ibid et arrêts cités). En outre, le ressortissant communautaire résidant en Suisse doit avoir des ressources financières suffisantes pour continuer à assurer l'entretien nécessaire des membres de sa famille ou de celle de son conjoint, une fois que ceux-ci l'ont rejoint (arrêts 2C_433/2021 du 21 octobre 2021 consid. 5.1 ; 2C_184/2021 du 26 août 2021 consid. 3.7). En principe, l’entretien doit être assuré par le détenteur du droit originaire (cf. ATF 135 II 369, ibid.).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(cf. directives OLCP, ch. 7.6).</w:t>
      </w:r>
    </w:p>
    <w:p>
      <w:r>
        <w:rPr>
          <w:b/>
        </w:rPr>
        <w:t>E. 29</w:t>
      </w:r>
    </w:p>
    <w:p>
      <w:r>
        <w:t>Les dispositions sur le regroupement familial visent prioritairement à permettre la vie commune des membres de la famille (cf. arrêt 2C_131/2016 du 10 novembre 2016 consid. 4.4 et 4.7). Bien que le droit au regroupement familial ne figure pas dans l’accord comme un objectif en tant que tel (cf. art. 1 ALCP), le renvoi de l’art. 7 let. d de cet accord à son annexe I donne toute son importance au maintien du lien familial lorsque le ressortissant UE/AELE détenteur du droit originaire s’établit en Suisse. Conformément à l’art. 3 par. 1 annexe I ALCP, l’objectif poursuivi est ainsi de permettre aux membres de la famille du ressortissant UE/AELE détenteur du droit originaire de s’installer avec lui (directives OLCP, ch. 7.5.3).</w:t>
      </w:r>
    </w:p>
    <w:p>
      <w:r>
        <w:t>- 24/30 - A/450/2019 Dans le but de maintenir une politique migratoire crédible qui tienne compte de cet impératif, les autorités cantonales compétentes sont invitées à examiner attentivement les demandes de regroupement familial, en particulier lorsqu’elles concernent des membres de la famille en provenance d’Etats tiers (cf. arrêt 2C_375/2014 du 4 février 2015 consid. 3.4). Dans ce cas, le risque d’un contournement de l’ALCP est plus élevé étant donné que les conditions de délivrance d’une autorisation de séjour au titre de la LEI sont restrictives (Directives OLCP, ch. II. 7.5.3). On peut parler de contournement de l’ALCP lorsque la demande de regroupement familial est déposée uniquement dans le but d’éluder les prescriptions d’admission et non de maintenir la vie familiale (cf. ATF 126 II 329 cons. 2 à 4, ATF 129 II 11 cons. 3, ATF 133 II 6 cons. 3 et 5, ATF 136 II 78 cons. 4 et ATF 136 II 497 cons.</w:t>
      </w:r>
    </w:p>
    <w:p>
      <w:r>
        <w:rPr>
          <w:b/>
        </w:rPr>
        <w:t>E. 30</w:t>
      </w:r>
    </w:p>
    <w:p>
      <w:r>
        <w:t>En l’espèce, à l’instar de l’autorité intimée, le tribunal constate que les conditions énoncées à l’art. 3 annexe I ALCP ne sont pas remplies. En effet, il n’a pas été démontré à satisfaction que la recourante serait à la charge de M. D______ de manière régulière et continue depuis son arrivée en Suisse en avril 2014. Au contraire, les éléments du dossier laissent plutôt penser que c’est sa nièce, Mme J______, qui la prend en charge. De plus, M. D______ fait l’objet de plusieurs poursuites et actes de défauts de biens pour un montant total de plus de CHF 48'000.-, ainsi que d’une saisie sur salaire de CHF 710.- par mois, permettent de remettre en question la capacité d’entretien de l’intéressé vis-à-vis de sa mère. Le tribunal relève d’ailleurs que la saisie sur salaire mise en place en août 2022 concerne une nouvelle poursuite ne figurant pas sur l’extrait du 15 mai 2022. En outre, dans le calcul du montant saisissable, il a été tenu compte du fait que ce dernier était « célibataire » et « sans obligation de soutien ». Dans ces circonstances, on ne saurait retenir que l’entretien de la recourante est garanti. Par ailleurs, il sied de constater que la recourante se trouvait déjà sur le sol helvétique depuis trois ans lorsque M. D______ a fait usage de son droit de circuler au sens de l’ALCP. De plus, elle n’aurait été hébergée chez lui qu’à partir du 1er janvier 2019, étant relevé qu’elle a déclaré avoir emménagé dans son appartement sis ______, alors qu’à cette date, M. D______ était déjà domicilié à ______. Le tribunal constate également que ce n’est que suite au refus de l’OCPM de lui délivrer une autorisation de séjour – notamment pour regroupement familial auprès de M. C______, au motif que celui-ci touchait des prestations de l’Hospice général et que le logement, de quatre pièces pour sept personnes, devait être</w:t>
      </w:r>
    </w:p>
    <w:p>
      <w:r>
        <w:t>- 25/30 - A/450/2019 considéré comme inadéquat – que la recourante a déposé la demande de regroupement familial auprès de son autre fils. Ces éléments, et en particulier le laps de temps relativement court entre la décision de refus, l’emménagement de la recourante chez M. D______ et le dépôt de la demande de regroupement familial le 31 janvier 2019, laissent penser que ce regroupement familial n’a pas pour objectif la reconstitution ou le maintien de la vie familiale, mais répond davantage à des motifs de convenance personnelle, étant encore relevé que la recourante a modifié sa requête en cours de procédure pour pouvoir vivre auprès de sa nièce, avant de finalement revenir à sa requête initiale. La recourante ne saurait ainsi se prévaloir de l’art. 3 annexe I ALCP sans commettre un abus de droit.</w:t>
      </w:r>
    </w:p>
    <w:p>
      <w:r>
        <w:rPr>
          <w:b/>
        </w:rPr>
        <w:t>E. 31</w:t>
      </w:r>
    </w:p>
    <w:p>
      <w:r>
        <w:t>La recourante invoque également ses problèmes de santé ainsi que la présence de ses deux fils et de sa nièce en Suisse pour justifier l’octroi d’une autorisation de séjour sous l’angle de l’art. 8 CEDH.</w:t>
      </w:r>
    </w:p>
    <w:p>
      <w:r>
        <w:rPr>
          <w:b/>
        </w:rPr>
        <w:t>E. 32</w:t>
      </w:r>
    </w:p>
    <w:p>
      <w:r>
        <w:t>L'art. 8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 2C_1119/2015 du 17 décembre 2015 consid. 3).</w:t>
      </w:r>
    </w:p>
    <w:p>
      <w:r>
        <w:rPr>
          <w:b/>
        </w:rPr>
        <w:t>E. 33</w:t>
      </w:r>
    </w:p>
    <w:p>
      <w:r>
        <w:t>Les relations familiales qui peuvent fonder, en vertu de cette disposition, un droit à une autorisation de police des étrangers sont avant tout celles qui concernent la famille dite nucléaire, soit celles qui existent entre époux, ainsi qu'entre parents et enfants mineurs vivant en ménage commun (ATF 144 II 1 consid. 6.1 ; 140 I 77 consid. 5.2 ; 139 I 330 consid. 2.1 ; arrêts du Tribunal fédéral 2C_124/2020 du 2 avril 2020 consid. 6.1 ; 2D_46/2019 du 14 janvier 2020 consid. 3.3 ; 2C_293/2018 du 5 octobre 2018 consid. 1.4).</w:t>
      </w:r>
    </w:p>
    <w:p>
      <w:r>
        <w:rPr>
          <w:b/>
        </w:rPr>
        <w:t>E. 34</w:t>
      </w:r>
    </w:p>
    <w:p>
      <w:r>
        <w:t>La jurisprudence admet aussi qu'un étranger puisse, exceptionnellement et à des conditions restrictives, déduire un droit à une autorisation de séjour de l'art. 8 CEDH, s'il existe un rapport de dépendance particulier entre lui et un proche parent (hors famille nucléaire) au bénéfice d'un droit de présence assuré en Suisse, par exemple en raison d'une maladie grave ou d'un handicap les empêchant de gagner leur vie et de vivre de manière autonome (ATF 137 I 154 consid. 3.4.2 ; 129 II 11 consid. 2 ; arrêts du Tribunal fédéral 2C_293/2018 du 5 octobre 2018 consid. 1.4 ; 2D_10/2018 du 16 mai 2018 consid. 4.1 ; 2C_969/2017 du 2 juillet 2018 consid. 1.1.2). L'extension de cette protection aux ressortissants étrangers majeurs suppose l'existence d'un lien de dépendance comparable à celui qui unit</w:t>
      </w:r>
    </w:p>
    <w:p>
      <w:r>
        <w:t>- 26/30 - A/450/2019 les parents à leurs enfants mineurs.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(arrêts du Tribunal fédéral 2D_10/2018 du 16 mai 2018 consid. 4.1 ; 2D_8/2016 du 24 février 2016 consid. 3 et la jurisprudence citée).</w:t>
      </w:r>
    </w:p>
    <w:p>
      <w:r>
        <w:rPr>
          <w:b/>
        </w:rPr>
        <w:t>E. 35</w:t>
      </w:r>
    </w:p>
    <w:p>
      <w:r>
        <w:t>En l’espèce, la recourante est certes effectivement atteinte dans sa santé. Il n’est toutefois pas démontré qu’elle se trouverait dans un rapport de dépendance particulier, tel que défini par la jurisprudence, à l’égard de ses proches résidant à Genève. En particulier, il n’est pas démontré que son état de santé nécessiterait une prise en charge permanente que seuls ses fils et sa nièce seraient en mesure d’assumer, étant rappelé que la recourante était, selon ses déclarations, déjà gravement atteinte dans sa santé avant sa venue en Suisse et qu’elle a depuis lors notamment bénéficié d’une opération du genou devant lui permettre de récupérer en autonomie et en qualité de vie. De plus, elle a encore de la famille au Cameroun et sa famille en Suisse pourra également la soutenir financièrement, comme cela a été le cas jusqu’à son arrivée sur le territoire helvétique. La recourante ne peut ainsi pas se prévaloir de l’art. 8 CEDH pour rester en Suisse.</w:t>
      </w:r>
    </w:p>
    <w:p>
      <w:r>
        <w:rPr>
          <w:b/>
        </w:rPr>
        <w:t>E. 36</w:t>
      </w:r>
    </w:p>
    <w:p>
      <w:r>
        <w:t>Conformément à l’art. 64 al. 1 let. c LEI, les autorités rendent une décision de renvoi ordinaire à l’encontre d’un étranger auquel une autorisation est refusée ou dont l’autorisation, bien que requise, est révoquée ou n’est pas prolongée après un séjour autorisé. Elle ne dispose à ce titre d'aucun pouvoir d'appréciation, le renvoi constituant la conséquence logique et inéluc-4183/2011 du 16 janvier 2012 consid. 3.1 ; ATA/1798/2019 du 10 décembre 2019 consid. 6).</w:t>
      </w:r>
    </w:p>
    <w:p>
      <w:r>
        <w:rPr>
          <w:b/>
        </w:rPr>
        <w:t>E. 37</w:t>
      </w:r>
    </w:p>
    <w:p>
      <w:r>
        <w:t>En l’occurrence, dès lors qu’il a refusé de délivrer une autorisation de séjour à la recourante, l’OCPM devait en soi ordonner son renvoi de Suisse en application de l’art. 64 al. 1 let. c LEI.</w:t>
      </w:r>
    </w:p>
    <w:p>
      <w:r>
        <w:rPr>
          <w:b/>
        </w:rPr>
        <w:t>E. 38</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L'exécution n'est pas licite lorsque le renvoi de l'étranger dans son État d'origine ou de provenance ou dans un État tiers est contraire aux engagements de la Suisse relevant du droit international (art. 83 al. 3 LEI). Elle n’est pas raisonnablement exigible si le renvoi le met concrètement en danger, par exemple en cas de guerre,</w:t>
      </w:r>
    </w:p>
    <w:p>
      <w:r>
        <w:t>- 27/30 - A/450/2019 de guerre civile, de violence généralisée ou de nécessité médicale (art. 83 al. 4 LEI).</w:t>
      </w:r>
    </w:p>
    <w:p>
      <w:r>
        <w:rPr>
          <w:b/>
        </w:rPr>
        <w:t>E. 39</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(ATA/137/2022 du 8 février 2022 consid. 9d).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revanche, les difficultés socio-économiques qui sont le lot habituel de la population locale, en particulier des pénuries de soins, ne suffisent pas en soi à réaliser une telle mise en danger (arrêt du Tribunal administratif fédéral F-838/ 2017 du 27 mars 2018 consid. 4.3).</w:t>
      </w:r>
    </w:p>
    <w:p>
      <w:r>
        <w:rPr>
          <w:b/>
        </w:rPr>
        <w:t>E. 40</w:t>
      </w:r>
    </w:p>
    <w:p>
      <w:r>
        <w:t>L’art. 83 al. 4 LEI, disposition exceptionnelle tenant en échec une décision d’exécution du renvoi, ne saurait en revanche être interprété comme une norme qui comprendrait un droit de séjour lui-même induit par un droit général d’accès</w:t>
      </w:r>
    </w:p>
    <w:p>
      <w:r>
        <w:t>- 28/30 - A/450/2019 en Suisse à des mesures médicales visant à recouvrer la santé ou à la maintenir, au simple motif que l’infrastructure hospitalière et le savoir-faire médical dans le pays d’origine ou de destination de l’intéressé n’atteignent pas le standard élevé prévalant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41</w:t>
      </w:r>
    </w:p>
    <w:p>
      <w:r>
        <w:t>En l’occurrence, force est de constater que la recourante n’a pas démontré à satisfaction de droit que ses problèmes de santé seraient d’une gravité telle qu’un retour au Cameroun apparaîtrait, d’un point de vue médical, insoutenable. De même, comme vu précédemment, rien au dossier ne permet de retenir qu’elle ne pourrait pas avoir accès aux suivis et soins médicaux dont elle a besoin dans son pays d’origine. À teneur du dernier rapport médical produit, daté du février 2022, seule l’absence probable de spécialistes pourrait s’opposer à un traitement dans le pays d’origine. Or, selon les informations dont dispose le tribunal (cf. consulting médical du SEM du 16 juin 2010), l’hôpital central de Yaoundé dispose d’un service de physio-kinésithérapie qui se charge, entre autres, de la rééducation fonctionnelle dans le domaine orthopédique. Le CHU à Yaoundé dispose quant à lui d’un IRM. Il ressort par ailleurs de la jurisprudence du Tribunal administratif fédéral que les traitements contre l’hypertension – affection courante au Cameroun – sont aisément disponibles dans ce pays et que des soins en neurologie et en cardiologie sont également disponibles dans les hôpitaux de Yaoundé ou à Douala (arrêts du TAF E-3050/2014 du 1er février 2018 consid. 7.8.2). En outre, aucun élément du dossier ne permet de retenir que son suivi devrait nécessairement être effectué par ses médecins genevois. Sa prise en charge sur place pourrait au demeurant être préparée avant son départ, avec l’aide de ses médecins traitants. De plus, l’intéressée est en mesure d’emporter avec elle des médicaments et d’effectuer des visites médicales en Suisse lors de séjours touristiques, étant relevé que son état de santé ne l’a pas empêché de voyager, puisqu’elle s’est rendue à au moins deux reprises au Cameroun depuis 2014, ainsi que plusieurs fois en France et en Belgique. La recourante pourra également solliciter l’octroi d’une aide au retour, notamment médicale, pour assurer la</w:t>
      </w:r>
    </w:p>
    <w:p>
      <w:r>
        <w:t>- 29/30 - A/450/2019 continuité de son traitement médicamenteux, ainsi que pour faciliter sa réinstallation au Cameroun. Elle devrait également pouvoir compter sur le soutien, à tout le moins logistique, de ses deux filles vivant sur place, ainsi que sur le soutien financier de sa famille en Suisse. Enfin, il sera rappelé que le fait que la qualité des soins au Cameroun ne soit pas la même qu’en Suisse ne saurait être considéré comme un obstacle insurmontable au retour dans le pays d’origine (arrêt du Tribunal fédéral 2C-193/2020 du 18 août 2020 consid. 4.2 et les références citées). En conclusion, en l'absence d'éléments démontrant que le retour de la recourante au Cameroun la mettrait concrètement en danger compte tenu de sa situation médicale, conformément à la jurisprudence précitée, il convient de retenir que l'exécution de son renvoi est raisonnablement exigible au sens de l’art. 83 LEI, de sorte que l'OCPM n'avait pas à proposer son admission provisoire au SEM.</w:t>
      </w:r>
    </w:p>
    <w:p>
      <w:r>
        <w:rPr>
          <w:b/>
        </w:rPr>
        <w:t>E. 42</w:t>
      </w:r>
    </w:p>
    <w:p>
      <w:r>
        <w:t>Pour le surplus, la recourante ne démontre, ni même n’allègue que l’exécution de son renvoi contreviendrait à des engagements de la Suisse relevant du droit international, de sorte qu’il y a lieu de retenir que celle-ci est également licite.</w:t>
      </w:r>
    </w:p>
    <w:p>
      <w:r>
        <w:rPr>
          <w:b/>
        </w:rPr>
        <w:t>E. 43</w:t>
      </w:r>
    </w:p>
    <w:p>
      <w:r>
        <w:t>Compte tenu de ce qui précède, les recours, mal fondés, doivent être rejetés.</w:t>
      </w:r>
    </w:p>
    <w:p>
      <w:r>
        <w:rPr>
          <w:b/>
        </w:rPr>
        <w:t>E. 44</w:t>
      </w:r>
    </w:p>
    <w:p>
      <w:r>
        <w:t>En application des art. 87 al. 1 LPA et 1 et 2 du règlement sur les frais, émoluments et indemnités en procédure administrative du 30 juillet 1986 (RFPA - E 5 10.03), la recourante, qui succombe, est condamnée au paiement d’un émolument s'élevant à CHF 1’000.- ; il est couvert par les avances de frais versées à la suite du dépôt des recours. Vu l’issue du litige, aucune indemnité de procédure ne sera allouée (art. 87 al. 2 LPA).</w:t>
      </w:r>
    </w:p>
    <w:p>
      <w:r>
        <w:rPr>
          <w:b/>
        </w:rPr>
        <w:t>E. 45</w:t>
      </w:r>
    </w:p>
    <w:p>
      <w:r>
        <w:t>En vertu des art. 89 al. 2 et 111 al. 2 de la loi sur le Tribunal fédéral du 17 juin 2005 (LTF - RS 173.110), le présent jugement sera communiqué au SEM.</w:t>
      </w:r>
    </w:p>
    <w:p>
      <w:r>
        <w:t>- 30/30 - A/450/2019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