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JTAPI/25/2025 vom 8. Januar 2025</w:t>
      </w:r>
    </w:p>
    <w:p>
      <w:r>
        <w:t>GE Cour de justice, 2025-01-08, FR</w:t>
      </w:r>
    </w:p>
    <w:p>
      <w:r>
        <w:rPr>
          <w:b/>
        </w:rPr>
        <w:t xml:space="preserve">Quelle: </w:t>
      </w:r>
      <w:r>
        <w:t>https://mcp.opencaselaw.ch/entscheid/ge_gerichte_JTAPI_25_2025</w:t>
      </w:r>
    </w:p>
    <w:p>
      <w:r>
        <w:t>FR: GE_GERICHTE JTAPI/25/2025 du 8 janvier 2025</w:t>
      </w:r>
    </w:p>
    <w:p>
      <w:r>
        <w:t>IT: GE_GERICHTE JTAPI/25/2025 del 8 gennaio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8 janvier 2025 à 17h36.</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t>- 4/7 - A/62/2025</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t>- 5/7 - A/62/2025</w:t>
      </w:r>
    </w:p>
    <w:p>
      <w:r>
        <w:rPr>
          <w:b/>
        </w:rPr>
        <w:t>E. 4</w:t>
      </w:r>
    </w:p>
    <w:p>
      <w:r>
        <w:t>Selon l'art. 76 al. 1 let. b ch. 1 LEI, renvoyant à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menace sérieusement d'autre personnes ou met gravement en danger leur vie ou leur intégrité corporelle et fait l'objet d'une poursuite pénale ou a été condamnée pour ce motif (let. g) ou a été condamnée pour crime, par quoi il faut entendre une infraction passible d'une peine privative de liberté de plus de trois ans (let. h) (cf. art. 10 al. 2 CP ; ATA/220/2018 du 8 mars 2018 consid. 4a).</w:t>
      </w:r>
    </w:p>
    <w:p>
      <w:r>
        <w:rPr>
          <w:b/>
        </w:rPr>
        <w:t>E. 5</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6</w:t>
      </w:r>
    </w:p>
    <w:p>
      <w:r>
        <w:t>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9</w:t>
      </w:r>
    </w:p>
    <w:p>
      <w:r>
        <w:t>En l'occurrence, M. A______ fait l'objet d’une mesure d'expulsion judiciaire. Il a par ailleurs été condamné pour infraction grave à la LStup (trafic de cocaïne), soit une infraction constitutive de crime (art. 160 ch. 1 al. 1 cum 10 al. 2 CP). Sa détention se justifie donc déjà en application de l'art. 76 al. 1 let. b ch. 1 LEI, en lien avec l'art. 75 al. 1 let. g et h LEI, sans qu’il soit nécessaire d’analyser si la détention pourrait être fondée sur un autre motif, étant rappelé que l’intéressé n’a ni attaches, ni lieu de résidence, ni source de revenu légale en Suisse et à Genève. L'assurance de son départ effectif répond en outre à un intérêt public certain et les autorités suisses doivent s'assurer du fait qu'il quittera effectivement le territoire à destination de l'Espagne (cf. not. art. 8 par. 6 de la Directive sur le retour et 15f de l'ordonnance sur l'exécution du renvoi et de l'expulsion d'étrangers du 11 août 1999 - OERE - RS 142.281). Au vu des circonstances, notamment du comportement que M. A______ a adopté jusqu'ici, toute autre mesure moins incisive que la détention administrative serait vaine pour assurer sa présence au moment où il devra quitter le pays. Dans son principe, sa mise en détention respecte donc aussi le principe de la proportionnalité. Enfin, l'autorité chargée du renvoi a agi avec diligence et célérité au sens de l'art. 76 al. 4 LEI, dès lors qu'elle a immédiatement adressé une demande au SEM en vue de la réadmission en Espagne de M. A______, lequel devrait encore la transmettre aux autorités espagnoles qui avaient en principe un délai de 24 heures ouvrables pour répondre. A réception de l’accord des autorités espagnoles, un vol pourrait être réservé moyennant un délai d’annonce impératif, étant précisé que le délai de 24 heures ouvrables était rarement respecté.</w:t>
      </w:r>
    </w:p>
    <w:p>
      <w:r>
        <w:rPr>
          <w:b/>
        </w:rPr>
        <w:t>E. 10</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11</w:t>
      </w:r>
    </w:p>
    <w:p>
      <w:r>
        <w:t>La durée de la détention doit être proportionnée par rapport aux circonstances d’espèce (arrêts du Tribunal fédéral 2C_18/2016 du 2 février 2016 consid. 4.2 ; 2C_218/2013 du 26 mars 2013 consid. 2.3). En particulier, le principe de la proportionnalité interdit que la durée de la mesure soit insuffisante pour atteindre son objectif (ATF 2C_497/2017 du 5 mars 2018, consid. 4.2.2, in fine, et ATF 2C_431/2017 du 5 mars 2018, consid. 4.3.3, in fine, et ATA/787/2018 du 24 juillet 2018, consid. 6b et ATA/1044/2018 du 5 octobre 2018, consid. 6c).</w:t>
      </w:r>
    </w:p>
    <w:p>
      <w:r>
        <w:t>- 6/7 - A/62/2025</w:t>
      </w:r>
    </w:p>
    <w:p>
      <w:r>
        <w:rPr>
          <w:b/>
        </w:rPr>
        <w:t>E. 12</w:t>
      </w:r>
    </w:p>
    <w:p>
      <w:r>
        <w:t>En l’espèce, la durée de l’ordre de mise en détention respecte pleinement le cadre légal précité et apparait proportionnée au vu des démarches en cours et à entreprendre. Il se justifie dès lors de confirmer l'ordre de mise en détention administrative de M. A______ pour une durée de six semaines.</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- 7/7 - A/62/2025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