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JTAPI/258/2025 vom 15. August 2017</w:t>
      </w:r>
    </w:p>
    <w:p>
      <w:r>
        <w:t>GE Cour de justice, 2017-08-15, FR</w:t>
      </w:r>
    </w:p>
    <w:p>
      <w:r>
        <w:rPr>
          <w:b/>
        </w:rPr>
        <w:t xml:space="preserve">Quelle: </w:t>
      </w:r>
      <w:r>
        <w:t>https://mcp.opencaselaw.ch/entscheid/ge_gerichte_JTAPI_258_2025</w:t>
      </w:r>
    </w:p>
    <w:p>
      <w:r>
        <w:t>FR: GE_GERICHTE JTAPI/258/2025 du 15 août 2017</w:t>
      </w:r>
    </w:p>
    <w:p>
      <w:r>
        <w:t>IT: GE_GERICHTE JTAPI/258/2025 del 15 agosto 2017</w:t>
      </w:r>
    </w:p>
    <w:p>
      <w:pPr>
        <w:pStyle w:val="Heading2"/>
      </w:pPr>
      <w:r>
        <w:t>Erwägungen</w:t>
      </w:r>
    </w:p>
    <w:p>
      <w:r>
        <w:rPr>
          <w:b/>
        </w:rPr>
        <w:t>E. 30</w:t>
      </w:r>
    </w:p>
    <w:p>
      <w:r>
        <w:t>Le recourant ayant déposé sa demande de régularisation et d'autorisation de séjour pour cas de rigueur le 26 juin 2017, c'est à juste titre que l'autorité intimée l’a examinée sous l'angle des critères de l'opération « Papyrus ». Toutefois, pour bénéficier de ce programme, l’intéressé devait notamment pouvoir démontrer, au jour du dépôt de sa requête, un séjour continu d’une durée de dix ans ainsi que l’absence de condamnation pénale, pour des faits autres que le séjour illégal et le travail sans autorisation. Or, cette dernière condition fait ici défaut, le recourant ayant été définitivement condamné par arrêt de la CPAR du 14 décembre 2023, notamment pour pornographie. Force est également de constater que le recourant, qui a indiqué dans le cadre de sa demande d’autorisation de séjour être arrivé en Suisse à 18 ans pour ensuite faire valoir une arrivée en 2007, n’a pas démontré la continuité de son séjour à Genève avant en tout cas 2010 : en effet, comme le recourant l’a lui-même reconnu, certains documents produits à l’appui de sa demande et tendant à justifier une activité professionnelle à Genève entre 2007 et 2010 étaient des faux et aucun autre documents, notamment des abonnements de TPG ou le versement de cotisations sociales par exemple n’ont été produits. Il s’ensuit que sur la base des pièces versées au dossier, il doit être retenu qu’il ne remplissait également pas la condition de dix ans de séjour continu en Suisse au jour du dépôt de sa demande de régularisation, en juin 2017. Pour ces deux motifs, il ne peut donc pas obtenir une autorisation de séjour sur la base des critères cumulatifs - stricts et sans dérogation possible - retenus dans le cadre de l’opération « Papyrus ».</w:t>
      </w:r>
    </w:p>
    <w:p>
      <w:r>
        <w:t>- 16/18 - A/3728/2024 Sous l’angle du cas de rigueur, si l’on retient que le recourant séjourne en Suisse sans interruption depuis 2009, voire 2010, il ne faut pas perde de vue que ce séjour s’est déroulé en grande partie dans l’illégalité et se poursuit, depuis le dépôt de la demande de régularisation, au bénéfice d’une simple tolérance des autorités. Or, le recourant ne saurait déduire des droits résultant d’un état de fait créé en violation de la loi. Il ne peut en tout cas pas tirer parti de la seule durée de son séjour en Suisse, qui doit en l’occurrence être fortement relativisée, pour bénéficier d’une dérogation aux conditions d’admission. La durée de son séjour ne saurait donc, en soi, être considérée comme déterminante. Le recourant exerce certes une activité lucrative, mais son intégration économique ne peut pas pour autant être qualifiée d’exceptionnelle, le simple fait d’être titulaire d’une entreprise individuelle active dans le domaine des faux-plafond, de la plâtrerie, des cloisons et de la peinture ne suffisant pas à justifier l’obtention d’une telle qualification. Sous l’angle de l’intégration socioculturelle, le recourant ne démontre pas l’existence de liens amicaux et affectifs à Genève d’une intensité telle qu’il ne pourrait être exigé de sa part de les poursuivre par les moyens de télécommunication modernes une fois de retour dans son pays natal. Il n’a pas non plus été allégué ni a fortiori étayé qu’il se soit fortement investi dans la vie culturelle ou associative genevoise. Au vu de ces éléments, il ne peut se prévaloir d’une intégration sociale telle qu’un renvoi dans son pays d’origine ne pourrait être exigé, étant rappelé qu’il a fait l’objet d’une condamnation notamment pour pornographie. En outre, il ne faut pas perdre de vue que le recourant est né au Kosovo, qu’il y a vécu au minimum 18 ans (soit une très grande partie de son existence dans son pays d'origine, notamment son enfance, son adolescence et le début de sa vie d’adulte) et que des membres de sa famille y séjournent encore. En tout état, il ne parvient pas à démontrer que sa relation avec la Suisse serait si étroite et profonde que l’on ne pourrait exiger de lui d’aller vivre dans un autre pays, notamment le Kosovo.</w:t>
      </w:r>
    </w:p>
    <w:p>
      <w:r>
        <w:t>S’agissant de sa réintégration dans son pays d’origine, si le recourant risque certes de traverser une phase de réadaptation, il pourra vraisemblablement compter sur les membres de sa famille pour reprendre pied au Kosovo dont il connaît la langue et les us et coutumes, et où il s’est rendu au moyen de divers visas. Au surplus, le fait de se retrouver dans les mêmes circonstances économiques que ses compatriotes restés au pays ne constitue pas un cas d’extrême gravité, étant rappelé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Sa réintégration dans son pays d’origine ne paraît ainsi pas gravement compromise en soi et le recourant, en bonne santé, ne fait état d’aucun élément particulier qui permettrait de retenir le contraire. Au vu de ces éléments, sa réintégration dans sa patrie ne saurait être considérée comme fortement compromise et son renvoi ne constituera dès lors pas un déracinement insurmontable.</w:t>
      </w:r>
    </w:p>
    <w:p>
      <w:r>
        <w:t>- 17/18 - A/3728/2024</w:t>
      </w:r>
    </w:p>
    <w:p>
      <w:r>
        <w:t>Le recourant ne présente donc pas une situation de détresse personnelle au sens de l’art. 30 al. 1 let. b LEI et il ne se justifie en conséquence pas de déroger aux conditions d’admission en Suisse en sa faveur, au vu de la jurisprudence très stricte en la matière. Il convient encore de rappeler que celui qui place l’autorité devant le fait accompli doit s’attendre à ce que celle-ci se préoccupe davantage de rétablir une situation conforme au droit que d’éviter les inconvénients qui en découlent pour lui. Le recourant ne pouvait ignorer, au vu de son statut précaire en Suisse, qu’il pourrait à tout moment être amené à devoir y mettre un terme en cas de refus de l’OCPM.</w:t>
      </w:r>
    </w:p>
    <w:p>
      <w:r>
        <w:t>En conclusion, l’appréciation que l’OCPM a faite de la situation du recourant sous l’angle des art. 30 al. 1 let. b LEI et 31 OASA ne prête pas le flanc à la critique. Dans ces conditions, le tribunal, qui doit faire preuve de retenue et respecter la latitude de jugement conférée à l’autorité intimée, ne saurait en corriger le résultat en fonction d’une autre conception, sauf à statuer en opportunité, ce que la loi lui interdit de faire.</w:t>
      </w:r>
    </w:p>
    <w:p>
      <w:r>
        <w:rPr>
          <w:b/>
        </w:rPr>
        <w:t>E. 31</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rPr>
          <w:b/>
        </w:rPr>
        <w:t>E. 32</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33</w:t>
      </w:r>
    </w:p>
    <w:p>
      <w:r>
        <w:t>En l’espèce, dès lors qu’il a refusé de soumettre le dossier du recourant au SEM en vue de la délivrance d’une autorisation de séjour pour cas de rigueur, l’OCPM devait ordonner son renvoi de Suisse en application de l’art. 64 al. 1 let. c LEI, ne disposant, dans ce cadre, d’aucun pouvoir d’appréciation.</w:t>
      </w:r>
    </w:p>
    <w:p>
      <w:r>
        <w:rPr>
          <w:b/>
        </w:rPr>
        <w:t>E. 34</w:t>
      </w:r>
    </w:p>
    <w:p>
      <w:r>
        <w:t>En tous point mal fondé, le recours est rejeté.</w:t>
      </w:r>
    </w:p>
    <w:p>
      <w:r>
        <w:rPr>
          <w:b/>
        </w:rPr>
        <w:t>E. 35</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36</w:t>
      </w:r>
    </w:p>
    <w:p>
      <w:r>
        <w:t>En vertu des art. 89 al. 2 et 111 al. 2 de la loi sur le Tribunal fédéral du 17 juin 2005 (LTF - RS 173.110), le présent jugement sera communiqué au secrétariat d'État aux migrations.</w:t>
      </w:r>
    </w:p>
    <w:p>
      <w:r>
        <w:t>- 18/18 - A/3728/2024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