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JTAPI/256/2025 vom 10. März 2025</w:t>
      </w:r>
    </w:p>
    <w:p>
      <w:r>
        <w:t>GE Cour de justice, 2025-03-10, FR</w:t>
      </w:r>
    </w:p>
    <w:p>
      <w:r>
        <w:rPr>
          <w:b/>
        </w:rPr>
        <w:t xml:space="preserve">Quelle: </w:t>
      </w:r>
      <w:r>
        <w:t>https://mcp.opencaselaw.ch/entscheid/ge_gerichte_JTAPI_256_2025</w:t>
      </w:r>
    </w:p>
    <w:p>
      <w:r>
        <w:t>FR: GE_GERICHTE JTAPI/256/2025 du 10 mars 2025</w:t>
      </w:r>
    </w:p>
    <w:p>
      <w:r>
        <w:t>IT: GE_GERICHTE JTAPI/256/2025 del 10 marzo 2025</w:t>
      </w:r>
    </w:p>
    <w:p>
      <w:pPr>
        <w:pStyle w:val="Heading2"/>
      </w:pPr>
      <w:r>
        <w:t>Erwägungen</w:t>
      </w:r>
    </w:p>
    <w:p>
      <w:r>
        <w:rPr>
          <w:b/>
        </w:rPr>
        <w:t>E. 10</w:t>
      </w:r>
    </w:p>
    <w:p>
      <w:r>
        <w:t>Par acte du 27 mai 2024, sous la plume de son conseil, M. B______ et Mme A______, sous la plume de leur conseil, ont interjeté recours contre cette décision auprès du Tribunal administratif de première instance (ci-après : le tribunal) concluant principalement, sous suite de frais et dépens, à son annulation et à la délivrance de l’autorisation de construire sollicitée ; subsidiairement, ils ont conclu au renvoi de la cause à l’OAC pour nouvelle décision dans les sens des considérants. La décision entreprise violait les principes de la légalité, de la garantie de la propriété et de la proportionnalité ainsi que le droit d’être entendu au sens des art. 5 al. 1, 26 et 36 de la Constitution fédérale de la Confédération suisse du 18 avril 1999 (Cst. - RS 101). Le nouvel art. 59 al. 3bis LCI était source d’insécurité juridique dès lors que son appréciation et son application ne reposaient sur aucun critère légal objectif et prévisible. En effet, l'art. 59 al. 3bis LCI imposait le principe de préserver une surface de pleine terre suffisante, sans toutefois déterminer les critères qualitatifs et quantitatifs sur lesquels devait se fonder la décision de l'administration, en l'occurrence le seul préavis de la CA. Seul un critère de 40% de minimum de plein terre avait été évoqué lors de l’adoption de l’art. 59 al. 3bis LCI. Au vu de l'atteinte grave à la garantie de propriété, qui était un droit, cette disposition n'était pas suffisamment claire, tant dans son libellé, que dans son application à des situations concrètes. Il en résultait un risque inévitable d’inégalité de traitement, d’abus de pouvoir d'appréciation et de violation du principe de la légalité. En l’espèce, la CA avait fait usage de sa propre appréciation en se basant sur la directive 021-v7 relative au rapport des surfaces en zone 5 émise par le département le 1er mars 2013 et modifiée le 15 août 2022 (ci-après : la directive LCI), et sur la marche à suivre du département intitulée « Densification de la zone 5 » de novembre 2022 ainsi le plan directeur communal de C______ (ci-après : PDCom) approuvé par le Conseil d'Etat par arrêté du 8 novembre 2023. Or, la directive précitée, définissait la notion de pleine terre, mais ne précisait pas les critères qualitatifs ou quantitatifs de cette dernière. A cet effet, dans la marche à suivre précitée, le département avait précisé que, selon l'expérience de la CA, une surface de pleine</w:t>
      </w:r>
    </w:p>
    <w:p>
      <w:r>
        <w:t>- 4/21 - A/1832/2024 terre inférieure à 40 % n'était ni qualitative, ni suffisamment quantitative. A l'inverse une surface supérieure à 60 % pouvait être considérée comme suffisamment quantitative et qualitative. Ainsi, s'agissant d'une surface de pleine terre située entre 40 et 60 %, la CA disposait d'un pouvoir d'appréciation étendu pour déterminer, au cas par cas, si le projet de construction était conforme à l'art. 59 al. 3bis LCI. Compte tenu de ces éléments, l'art. 59 al. 3bis LCI contenait de toute évidence un vide juridique que ni la directive, ni la marche à suivre ne permettaient de compléter. Il résultait en outre du PDCom que leur villa était sise dans le périmètre de densification accrue. La CA était donc en principe tenue de se fonder sur ledit PDCom lors de l'évaluation du projet à l'échelle du groupe de parcelles. Par ailleurs, l'indice de pleine terre souhaité et non communiqué par la CA pour motiver ses préavis défavorables semblait bien supérieur à celui recherché dans les modalités d'application du nouvel art. 59 LCI, spécifiant initialement une valeur cible de 40%. Un objectif chiffré aurait dû être mentionné explicitement. Compte tenu de ces éléments, ni le préavis de la CA ni la décision de refus du DT ne permettait de déterminer les critères sur lesquels s’étaient fondées ces deux entités pour refuser leur projet. En réalité, il n'y en avait pas et le pouvoir décisionnel de la CA était d'autant plus arbitraire qu'il ne reposait sur aucun critère formel, mais sur une simple directive non contraignante et d'autres sources qui ne tenaient pas lieu de loi. Le manque de motivation du préavis de la CA et de la décision de refus démontrait précisément que les autorités précitées avaient versé dans l'arbitraire lors de l'application de l'art. 59 al. 3bis LCI. Au surplus, si un pouvoir d'appréciation avait certes été conféré à l'OAC, c’était justement pour tenir compte des particularités de chaque cas. Or, en l'espèce, la surface de la construction envisagée n'influençait que dans une faible mesure la surface de pleine terre, puisqu'elle correspondait seulement à 5,6 % de la surface totale de la parcelle. Ainsi, dès lors qu’ils n’étaient pas en mesure de déterminer sur quels éléments se fondait la décision querellée, qui était par ailleurs choquante dans son résultat, il convenait de retenir que l'autorité intimée avait agi de manière totalement arbitraire en rendant la décision querellée. Le refus d'autoriser leur projet restreignait considérablement leur droit de jouir librement de leur propriété, alors qu’une surface de pleine terre de 44,4 % permettait d’atteindre le but visé à l'art. 59 al. 3bis LCI. Cette atteinte à leur droit était importante car, au vu de l'ampleur du projet de construction (rapport de 5,6 % de la surface totale de la parcelle), cela revenait à retenir qu’ils ne seraient jamais autorisés à construire autre chose que les édifications existantes sur leur parcelle. En application du principe de proportionnalité, le DT aurait dû peser les intérêts en présence et parvenir à la conclusion que la construction souhaitée n’utilisait qu'une faible partie de la surface totale de la parcelle, que le but visé par la loi, à savoir la préservation d'une surface en pleine terre de plus de 40% était toujours réalisé et que le refus de leur délivrer l'autorisation de construire sollicitée constituait une atteinte grave à la garantie de la propriété.</w:t>
      </w:r>
    </w:p>
    <w:p>
      <w:r>
        <w:t>- 5/21 - A/1832/2024 La décision rendue portait également atteinte à leur droit d’être entendu. La motivation de la décision ne leur permettait pas de déterminer dans quelle mesure leur projet s'écartait des conditions de l'art. 59 al. 3bis LCI. Le projet semblait devoir répondre à des critères quantitatif et qualitatif qui n’étaient pas déterminés, hormis le respect de l’art. 59 al. 3bis LCI dont les contours demeuraient obscurs. Ainsi, l'exigence de la motivation qui découlait du droit d'être entendu n'avait pas été respectée.</w:t>
      </w:r>
    </w:p>
    <w:p>
      <w:r>
        <w:rPr>
          <w:b/>
        </w:rPr>
        <w:t>E. 11</w:t>
      </w:r>
    </w:p>
    <w:p>
      <w:r>
        <w:t>Le 14 juin 2024, la commune a indiqué au tribunal qu’elle n’avait pas d’éléments à apporter et qu’elle ne souhaitait pas intervenir dans cette procédure.</w:t>
      </w:r>
    </w:p>
    <w:p>
      <w:r>
        <w:rPr>
          <w:b/>
        </w:rPr>
        <w:t>E. 12</w:t>
      </w:r>
    </w:p>
    <w:p>
      <w:r>
        <w:t>Le 29 juillet 2024, le département a transmis ses observations, concluant au rejet du recours. Il a produit son dossier. S'agissant de l'art. 59 al. 3bis LCI, le législateur - prenant notamment en considération les explications du Conseiller d’État en charge du DT - avait considéré qu'il ne lui revenait pas de fixer un seuil strict dans la loi, mais qu'il était préférable de laisser aux instances compétentes, sur la base de situations concrètes, la possibilité de définir, aussi bien au niveau de sa quantité que de sa qualité, l'indice de verdure qu'il convenait d'accepter. Dans la mesure où, à la lecture de leur recours, les recourants semblaient avoir parfaitement compris à quelles conditions, dans quelles circonstances cette disposition s'appliquait et quels en étaient les effets juridiques, il s'avérait que le principe de légalité, était respecté. Par ailleurs, l’argumentation des recourants se limitait à l'appréciation quantitative de l'obligation posée par l'art. 59 al. 3bis LCI, ignorant sa dimension qualitative, laquelle était concrétisée par la directive du département. Or, dans son préavis du 18 janvier 2024, la CA avait relevé que la construction projetée ne répondait pas non plus au critère qualitatif, puisque la piscine était implantée dans la seule zone intéressante. La modification du projet ne permettait pas d'arriver à une solution différente puisque la piscine restait implantée dans cette même zone (préavis de la CA du 3 avril 2024). Dans ces circonstances et vu l'importance de préserver des surfaces de pleine terre, en particulier des espaces d'un seul tenant pouvant accueillir la plantation d'arbre d'une certaine grandeur, à des fins de protection de l'environnement naturel et paysager, le département pouvait, à juste titre et indépendamment de l'impact quantitatif du projet, considérer que la suppression du muret ne répondait pas à la demande de la CA portant sur la question de la fragmentation des espaces verts. En suivant les préavis de la CA, objectivement fondés tant à la lumière de l'art. 59 al. 3bis LCI que des circonstances concrètes du projet envisagé, il avait exercé son pouvoir d'appréciation de manière conforme à la loi et à la jurisprudence. L’appréciation personnelle des recourants ne pouvant se substituer à celle de l'instance de préavis spécialisée en la matière, le grief tiré de la prétendue application arbitraire de cette disposition devait donc également être rejeté.</w:t>
      </w:r>
    </w:p>
    <w:p>
      <w:r>
        <w:t>- 6/21 - A/1832/2024 S’agissant du non-respect du principe de proportionnalité, la décision querellée était justifiée par un intérêt public, soit la préservation de la qualité environnementale en zone 5. La préservation d’une surface de pleine terre suffisante était propre à atteindre le but visé et l'intérêt privé compromis des recourants à implanter une piscine de près de 23 m2 au seul endroit intéressant de la parcelle eu égard aux espaces naturels se trouvait dans un rapport raisonnable avec cet intérêt public. En tout état de cause, rien ne les empêchait de revoir leur projet, à la lumière des explications de la CA, afin d'implanter une piscine sur la parcelle, tout en respectant les objectifs poursuivis par le département. La décision querellée n’avait dès lors pas porté d'atteinte inadmissible à leur garantie de propriété, de sorte que ce grief devait également être rejeté. Concernant la prétendue violation de leur droit d’être entendu, le refus notifié aux recourants le 27 mai 2024 mentionnait la disposition légale applicable et comprenait une motivation exposant les raisons ayant mené l'autorité intimée à rendre ladite décision. La lecture du recours suffisait à établir que c'était en toute connaissance de cause que les recourants avaient saisi la justice et qu’ils avaient parfaitement compris que c'était en raison de la non-conformité du projet aux prescriptions pleine terre que le département l'avait refusé. Aucune violation du droit d'être entendu ne pouvait dès lors être constatée.</w:t>
      </w:r>
    </w:p>
    <w:p>
      <w:r>
        <w:rPr>
          <w:b/>
        </w:rPr>
        <w:t>E. 13</w:t>
      </w:r>
    </w:p>
    <w:p>
      <w:r>
        <w:t>Les recourants ont répliqué le 23 août 2024, sous la plume de leur mandataire, persistant dans les conclusions et arguments de leur recours. Pour le surplus, ils ont sollicité des actes d’instruction, à savoir une inspection locale, en présence de la CA et de ses préaviseurs, soit Madame E______ et Monsieur F______. Ils ont également conclu à l’audition de ces derniers, du président de la CA et de M. G______ et à ce qu’il soit ordonné à la CA de produire les deux procès-verbaux des séances lors desquelles leur dossier avait été traité.</w:t>
      </w:r>
    </w:p>
    <w:p>
      <w:r>
        <w:rPr>
          <w:b/>
        </w:rPr>
        <w:t>E. 14</w:t>
      </w:r>
    </w:p>
    <w:p>
      <w:r>
        <w:t>Le DT a dupliqué le 13 septembre 2024. Les nouvelles conclusions prises par les recourants au stade de leur réplique devaient être déclarées irrecevables. Pour les surplus, le tribunal disposait de tous les éléments utiles à des faits pertinents pour statuer sur les griefs soulevés, puisqu'il disposait de l'intégralité du dossier d'autorisation de construire, de ses plans, explications et préavis. En outre, de jurisprudence constante, le droit d'être entendu n'impliquait pas le droit à une audition orale ni à l'audition de témoins. Par ailleurs, il peinait à saisir la pertinence de l'audition de M. G______, ce dernier ayant déjà eu l'occasion de verser au dossier un courrier explicatif du projet. Enfin, M. F______ et Mme E______ n’étant pas membres de la CA, ils ne pouvaient valablement représenter cette instance. En tout état, les recourants ne pouvaient ignorer que l'audition d'un membre d'une instance spécialisée ne se justifiait pas lorsque cette instance avait émis un préavis versé à la procédure. Pour le reste, il renvoyait à ses écritures précédentes.</w:t>
      </w:r>
    </w:p>
    <w:p>
      <w:r>
        <w:t>- 7/21 - A/1832/2024</w:t>
      </w:r>
    </w:p>
    <w:p>
      <w:r>
        <w:rPr>
          <w:b/>
        </w:rPr>
        <w:t>E. 15</w:t>
      </w:r>
    </w:p>
    <w:p>
      <w:r>
        <w:t>Lors de l'audience du 14 novembre 2024 devant le tribunal, M. F______, secrétaire de la CA, levé de son secret de fonction, a expliqué que, lorsque cette commission rendait ses préavis, elle se basait sur la marche à suivre édictée par le département en lien avec l'art. 59 LCI et en particulier son al. 3bis, s'agissant des questions de pleine terre. Elle avait dans ce cadre une importante marge d'appréciation et prenait en compte à la fois les aspects quantitatifs et qualitatifs de la pleine terre. C'était sur ce dernier aspect en particulier que sa marge d'appréciation était la plus importante. La valeur cible s'agissant de l'aspect quantitatif était de l'ordre de 50% dans une fourchette entre 40 et 60%. En-dessous, l'aspect quantitatif n'était clairement pas respecté. Au-dessus de 60%, le département pouvait se prononcer sans avoir à requérir le préavis de la CA. Cette fourchette ressortait de la directive. L'aspect qualitatif était précisé en page 9 de la marche à suivre. Le souhait exprimé était de pouvoir maintenir une surface de pleine terre d'un seul tenant et d'éviter son morcellement, dans le but notamment de pouvoir y planter des arbres ou arbustes d'une certaine importance. Concernant le projet n° 2, il s’interrogeait sur la surface de pleine terre retenue qui lui semblait être en réalité inférieure aux 44,4% indiqués. Cela étant, en lien avec les préavis de la CA, il relevait que le jardin était la seule surface intéressante dès lors qu'il s'agissait de la seule surface en un seul tenant. Les autres surfaces de pleine terre de la parcelle étaient très résiduelles, avec notamment à l'avant, l'entrée de la propriété et sur le côté latéral un espace très étroit et peu qualitatif. Au vu de la faible surface de pleine terre de la parcelle, une piscine dans le jardin des recourants n'était à son avis pas possible. Cas échéant, elle ne pourrait être envisagée qu'à l'entrée de la parcelle ou sur la surface latérale résiduelle. Dans son analyse, la CA tenait également compte des surfaces vides de construction avoisinantes, notamment afin que puissent être préservés des espaces pour la petite faune. En l'espèce, de l'expérience de la commission, il était presque certain qu'une piscine plus petite au même emplacement ne serait pas préavisée favorablement. En principe, la CA privilégiait des piscines accolées aux constructions déjà existantes, afin précisément de limiter le morcellement de la pleine terre. La seule solution qu’il pourrait imaginer, pour obtenir un préavis favorable de la CA, c’était une piscine plus petite accolée à la villa. Dans des lotissements existants, dont certains bénéficient déjà de piscines, la CA pouvait admettre des surfaces de pleine terre inférieures à la valeur cible, soit entre 40 et 50%. Elle était en revanche plus sévère concernant des lotissements neufs. Il n'était pas tenu compte de la densité des parcelles voisines (sauf pour des projets de lotissements), mais de l'existence de surfaces végétales alentours pour la petite faune et des percées visuelles, que l'on cherchait à préserver. On pouvait ainsi parfaitement imaginer que la CA pose des exigences également quant à un futur projet de construction de la parcelle sur laquelle se situait le bâtiment 6______, lequel ne devrait pas se situer en limite de parcelle. La piscine présente sur la parcelle n° 4______ avait été réalisée avant l'adoption de l'art. 59 al. 3bis LCI. Cette piscine ne serait vraisemblablement pas autorisée aujourd’hui. Sur question du tribunal relevant qu’il s’agissait ici d'une petite piscine avec des qualités d'usage liées à son implantation et qui ne nécessitait pas d'abattage d'arbres, il a admis que l’on se trouvait dans un cas limite, dans une</w:t>
      </w:r>
    </w:p>
    <w:p>
      <w:r>
        <w:t>- 8/21 - A/1832/2024 zone grise. La volonté de la CA restait cependant celle d'accoler les piscines aux bâtiments existants et de maximiser la surface de pleine terre dans le but de permettre éventuellement la plantation d'arbres ou d'arbustes. Or, celle-ci lui paraissait difficile dans le projet n° 2. Sur questions du conseil des recourants, il n'y avait effectivement pas d'obligation légale de planter des arbres sur sa parcelle. Vu les caractéristiques de la parcelle, il ne serait d’ailleurs pas judicieux d'y planter un arbre, tout au plus un arbuste. La dangerosité de la piscine n’était pas examinée au moment de préaviser son implantation. La CA entendait préserver des zones suffisantes de pleine terre quelle que soit leur qualité écologique. C'était ensuite dans le cadre de l'analyse du dossier, qu'intervenait l'aspect qualitatif. En l’occurrence, la parcelle était située dans une zone de densification, avec peu de diversité écologique et surtout, des pelouses. Ce type de projets était préavisé par une délégation de la CA dont faisait partie le président et il était ensuite validé par la plénière. Dans le cas d’espèce, la motivation des préavis de la CA était suffisante et parfaitement claire. Les piscines hors sol n’étaient pas soumises à autorisation. Il devait toutefois s’agir de piscines saisonnières qui devaient être retirées de la parcelle chaque année et qui ne devaient pas nécessiter d'aménagement extérieur, tel un socle par exemple. Sur question du tribunal, une consultation avec une délégation de la CA était possible si les recourants souhaitaient proposer un troisième projet. Dans ce cadre, il n'était pas nécessaire de déposer un projet complet mais uniquement d'indiquer l'implantation de la piscine, ses dimensions et la surface de la pleine terre. Il était également possible de proposer des variantes. La consultation avait le mérite d'être rapide mais il était statué uniquement sur dossier. Pour une discussion, il fallait demander un rendez-vous avec une délégation, ce qui ne lui semblait pas possible pour un projet aussi petit. Il était également possible de demander à la CA des consignes plus précises quant à ce qui pouvait être fait, respectivement de lui proposer plusieurs variantes. La représentante du département a précisé que la parcelle n'était pas située dans une zone de densification accrue, selon le plan directeur communal. M. B______ a expliqué que l'implantation de la piscine telle que souhaitée par la CA n’était pas envisageable pour des problèmes de circulation et de sécurité des enfants. Ils avaient essayé de proposer un projet aussi raisonnable que possible qu’ils avaient adapté autant que faire se pouvait aux exigences posées par la CA. Ils allaient réfléchir à la possibilité de déposer un 3ème projet. A l’issue de l’audience, un délai au 31 janvier 2025 a été imparti aux recourants pour indiquer au tribunal s’ils entendaient ou non poursuivre la procédure.</w:t>
      </w:r>
    </w:p>
    <w:p>
      <w:r>
        <w:rPr>
          <w:b/>
        </w:rPr>
        <w:t>E. 16</w:t>
      </w:r>
    </w:p>
    <w:p>
      <w:r>
        <w:t>Par courrier du 31 janvier 2025, les recourants ont informé le tribunal qu’ils souhaitaient que leur recours fasse l’objet d’une décision et l'organisation d'une inspection locale.</w:t>
      </w:r>
    </w:p>
    <w:p>
      <w:r>
        <w:t>- 9/21 - A/1832/2024 Au fond, ils persistaient dans leur recours et conclusions, renvoyant pour le surplus au jugement JTAPI/936/2024 rendu par le tribunal le 19 septembre 2024 lequel traitait d’une problématique similaire. Finalement, la présente prise de position ne devait pas être comprise comme un refus pur et simple de déposer un 3ème projet remplissant les demandes de la CA. Lors de l’audience, M. F______ avait cependant laissé entendre qu’il n'accepterait aucun projet, sauf peut-être celui d'une piscine d'une surface quasi nulle et accolée à la maison, devant la parcelle (à l'emplacement du garage) ou dans la bande latérale sous la forme d'un couloir de nage. Ils ont joint deux pièces complémentaires, dont un courrier de l’OAC du 23 décembre 2024.</w:t>
      </w:r>
    </w:p>
    <w:p>
      <w:r>
        <w:rPr>
          <w:b/>
        </w:rPr>
        <w:t>E. 17</w:t>
      </w:r>
    </w:p>
    <w:p>
      <w:r>
        <w:t>Ce courrier et ses annexes ont été transmis au département, pour information.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3. Les recourantes sollicitent la tenue d’un transport sur place. Ils se plaignent également d’une violation de leur droit d’être entendu, sous l’angle du défaut de motivation de la décision entreprise et du préavis de la CA, faisant valoir qu’il ne leur était pas possible de déterminer les critères sur lesquels le département et cette commission s’étaient fondés pour refuser le projet. 4. Garanti par l'art. 29 al. 2 Cst.,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w:t>
      </w:r>
    </w:p>
    <w:p>
      <w:r>
        <w:t>- 10/21 - A/1832/2024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Par ailleurs, le droit d’être entendu ne comprend pas le droit d’être entendu oralement (cf. not. art. 41 in fine LPA ; ATF 140 I 68 consid. 9.6.1 ; 134 I 140 consid. 5.3 ; 130 II 425 consid. 2.1 ; arrêts du Tribunal fédéral 2C_668/2020 du</w:t>
      </w:r>
    </w:p>
    <w:p>
      <w:r>
        <w:rPr>
          <w:b/>
        </w:rPr>
        <w:t>E. 22</w:t>
      </w:r>
    </w:p>
    <w:p>
      <w:r>
        <w:t>janvier 2021 consid. 3.3 ; 2C_339/2020 du 5 janvier 2021 consid. 4.2.2), ni celui d’obtenir l’audition de témoins (ATF 130 II 425 consid. 2.1 ; arrêts du Tribunal fédéral 2C_725/2019 du 12 septembre 2019 consid. 4.1).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 27 septembre 2013 consid. 3.2.1 ; ATA/285/2021 du 2 mars 2021 consid. 2b). 5. Le droit d’être entendu implique également pour l’autorité l’obligation de motiver sa décision afin que le destinataire puisse la comprendre, l’attaquer utilement s’il y a lieu et afin que l’autorité de recours puisse exercer son contrôle. L’autorité doit ainsi mentionner, au moins brièvement, les motifs qui l’ont guidé et sur lesquels elle a fondé sa décision, de manière à ce que l’intéressé puisse se rendre compte de la portée de celle-ci et l’attaquer en connaissance de cause. Elle n’est pas tenue de discuter tous les arguments soulevés, mais peut se limiter à l’examen des questions décisives pour l’issue du litige. La motivation peut être implicite et résulter des différents considérants de la décision. Savoir si la motivation présentée est convaincante est une question distincte de celle du droit à une décision motivée. Dès lors que l’on peut discerner les motifs qui ont guidé la décision de l’autorité, le droit à une décision motivée est respecté, même si la motivation présentée est erronée (ATF 142 II 154 consid. 4.2 ; 141 IV 249 consid. 1.3.1 ; arrêts du Tribunal fédéral 6B_762/2020 du 17 mars 2021 consid. 2.1 et les références citées ; 1C_415/2019 du 27 mars 2020 consid. 2.1 ; ATA/447/2021 du 27 avril 2021 consid. 6b). 6. La réparation d’un vice de procédure en instance de recours et, notamment, du droit d’être entendu, n’est possible que lorsque l’autorité dispose du même pouvoir d’examen que l’autorité inférieure (ATF 145 I 167 consid. 4.4 ; arrêts du Tribunal fédéral 1C_240/2017 du 11 décembre 2018 consid. 3.2). Elle dépend toutefois de la gravité et de l’étendue de l’atteinte portée au droit d’être entendu et doit rester l’exception. Elle peut cependant se justifier en présence d’un vice grave lorsque le</w:t>
      </w:r>
    </w:p>
    <w:p>
      <w:r>
        <w:t>- 11/21 - A/1832/2024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 7. En l’espèce, le tribunal estime que les documents versés au dossier ainsi que la consultation du SITG permettent de visualiser la parcelle des recourants et le périmètre dans lequel elle s’insère. Partant, il n’entend pas procéder au transport sur place requis, en soi non obligatoire.</w:t>
      </w:r>
    </w:p>
    <w:p>
      <w:r>
        <w:t>S’agissant de la motivation de la décision, le tribunal constate que les recourants ont pu le saisir en temps utile et que les griefs qu’ils font valoir démontrent qu’ils ont parfaitement compris le sens et la portée de la décision querellée. Le secrétaire de la CA a de plus été entendu en audience par le tribunal et a pu préciser dans ce cadre les attentes de cette commission et les motifs de son refus. Les recourants ont eu l’occasion de se déterminer à cet égard. Dans ces circonstances, force est de constater que l’éventuel défaut de motivation aurait été réparé devant le tribunal de céans. 8.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1C_107/2016 du 28 juillet 2016 consid. 9). Elle doit en outre en outre utiliser sa marge de manœuvre conformément à ses devoirs en tenant compte du but de la loi, afin de servir au mieux l'intérêt public (Thierry TANQUEREL, Manuel de droit administratif, 2ème édition, 2018, p. 179 n. 513). 10.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w:t>
      </w:r>
    </w:p>
    <w:p>
      <w:r>
        <w:t>- 12/21 - A/1832/2024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 11.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w:t>
      </w:r>
    </w:p>
    <w:p>
      <w:r>
        <w:rPr>
          <w:b/>
        </w:rPr>
        <w:t>E. 27</w:t>
      </w:r>
    </w:p>
    <w:p>
      <w:r>
        <w:t>La garantie de la propriété, ancrée à l'art. 26 al. 1 Cst., n'est pas absolue. Comme tout droit fondamental, elle peut être restreinte aux conditions fixées à l'art. 36 Cst. La restriction doit ainsi notamment être justifiée par un intérêt public et respecter le principe de la proportionnalité. Exprimé aux art. 5 al. 2 et 36 al. 3 Cst., ce principe exige que les mesures mises en œuvre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(cf. ATF 141 I 1 consid. 5.3.2 ; ATF 140 I 168 consid. 4.2.1 ; ATF 135 I 233 consid. 3.1 ; arrêts du Tribunal fédéral 1C_418/2016 du 28 février 2017 consid. 5.1 ; 1C_451/2016 du 11 janvier 2017 consid. 5.1 ; 1C_433/2015 du 18 mai 2016 consid. 2.1).</w:t>
      </w:r>
    </w:p>
    <w:p>
      <w:r>
        <w:rPr>
          <w:b/>
        </w:rPr>
        <w:t>E. 28</w:t>
      </w:r>
    </w:p>
    <w:p>
      <w:r>
        <w:t>En l'espèce, les normes de la zone 5, et plus particulièrement l’art. 59 al. 3bis LCI sont applicables à la demande d'autorisation de construire querellée, ce qui n'est pas contesté. Deux versions du projet ont été soumises à la CA. La première portait sur la construction d’une piscine extérieure avec plages et local technique d’une SBP totale de 32 m2 avec une surface de pleine terre de 189 m2 correspondant à 42,8% de la surface de la parcelle. La piscine venait s’accoler à la terrasse des recourants, dans le prolongement de leur villa, avec une circulation possible sur tout son pourtour. Après analyse, la CA s’est déterminée défavorablement sur cette première version, retenant que la surface de pleine terre était insuffisante et que le projet péjorait l'espace libre intéressant. Les recourants ont alors modifié leur projet en renonçant à la construction du muret, en déplaçant le lieu d’implantation de la piscine et en réduisant sa largeur. Suite à ces modifications, la surface totale de la piscine (avec plages et local technique) s’est élevée à 24,7 m2 et la surface de pleine terre à 44,4 %. L’implantation de la piscine a été modifiée, celle-ci venant désormais s’accoler à la limite de propriété avec la parcelle n° 5______. La CA a</w:t>
      </w:r>
    </w:p>
    <w:p>
      <w:r>
        <w:t>- 19/21 - A/1832/2024 toutefois estimé, dans son second préavis, que la nouvelle proposition n’améliorait en rien la situation. Entendu par le tribunal sur les attentes de la CA et les options envisageables, le secrétaire de cette commission a notamment précisé, lors de l’audience du 14 novembre 2024, que la valeur cible, s’agissant de l'aspect quantitatif de la pleine terre était de l'ordre de 50% dans une fourchette entre 40 et 60%. Quant à l'aspect qualitatif, le souhait était de pouvoir maintenir une surface de pleine terre d'un seul tenant et d'éviter son morcellement, dans le but notamment de pouvoir y planter des arbres ou arbustes d'une certaine importance. En l’occurrence, le jardin étant la seule surface en un seul tenant, la réalisation d’une piscine y était, à son avis, pas possible. La seule solution qu’il pourrait envisager serait la réalisation d’une piscine plus petite, accolée à la villa. Il admettait que l’on se trouvait ici dans un cas limite, une zone grise, s’agissant d’une petite piscine avec des qualités d’usage liées à son implantation, et dès lors que la plantation d’arbres et d’arbustes serait difficile, voire peu judicieuse, sur la parcelle des recourants. Sur le vu de ce qui précède, le tribunal retiendra qu’en réduisant la surface de la piscine projetée, les recourants ont fait évoluer le pourcentage de surface de pleine terre de leur projet qui est passée de 42,8 % dans le projet initial, à 44,4 %. S’agissant de l’aspect quantitatif l’on se trouve ainsi dans une fourchette basse mais admissible. Concernant l’aspect qualitatif, le représentant de la CA a précisé en audience ce qui était attendu par cette commission, soit le maintien d’une surface de pleine terre d’un seul tenant et éviter le morcellement de la parcelle. Les objectifs visés étant de permettre la plantation d’arbres et d’arbustes, de garantir l’existence de surfaces végétales pour la petite faune et des percées visuelles. Sur la base des plans visés ne varietur, le tribunal doit toutefois constater que cet aspect qualitatif est ici problématique, sous l’angle de la fragmentation des espaces verts, quand bien même il faut aussi retenir que M. F______ a indiqué qu’il n’était pas possible ni judicieux de planter des arbres dans le jardin des recourants, que les exigences à l’égard de villas faisant partie de lotissements existants dont certains déjà avec piscine étaient moindres et que l’on se trouvait dans un cas limite. En effet, hormis le jardin, la parcelle ne dispose pas de surfaces de pleine terre intéressantes (garage et entrée à l’avant, étroit couloir végétal avec haie sur le côté), le projet se distingue en outre de celui visé dans le JTAPI/936/2024 (pourcentage de pleine terre plus important ; conservation d’un espace en un seul tenant ; piscine accolée à la villa ; plantation d’un arbre), dont se prévalent les recourants. Ils indiquent enfin ne pas envisager, à ce stade, un autre emplacement de la piscine projetée, qui pourrait pourtant venir s’accoler à leur villa, comme suggéré par le représentant de la CA en audience, côté jardin. A cet égard, les problématiques de circulation et/ou sécuritaires qu’ils allèguent semblent avant tout relever de la convenance personnelle. Dans ces circonstances et vu l’importance de préserver des surfaces de pleine terre, en particulier des espaces d’un seul tenant, à des fins de protection de</w:t>
      </w:r>
    </w:p>
    <w:p>
      <w:r>
        <w:t>- 20/21 - A/1832/2024 l’environnement naturel et paysager, en laissant notamment des surfaces végétales pour la petite faune et des percées visuelles, le département pouvait, à juste titre et indépendamment de l’impact quantitatif du projet, considérer que l’installation projetée par les recourants ne répondait pas aux attentes de la CA, lesquelles s’inscrivent clairement dans les objectifs de l’art. 59 al. 3bis LCI précisés par la directive. Partant, en suivant le préavis de la CA, objectivement fondé tant à la lumière de l’art. 59 al. 3bis LCI que des circonstances concrètes du projet envisagé, force est d’admettre que le département a exercé son pouvoir d’appréciation de manière conforme à la loi et à la jurisprudence, sans porter d’atteinte inadmissible à la garantie de propriété des recourants. Leur intérêt privé à pouvoir user à leur guise de leur parcelle doit en effet être mis en balance avec celui, plus général, à la protection de l’environnement naturel, en particulier sous l’angle de l’imperméabilisation des sols et de la disparition des couloirs de biodiversité, préoccupations rappelées par le président du département devant la commission d’aménagement mais aussi, lors de l’audience, par le secrétaire de la CA. Par ailleurs, on ne voit pas quel intérêt privé ou public prépondérant aurait permis au département de faire fi du préavis de la CA, dans la mesure où, comme rappelé ci-dessus, l’appréciation du respect de l’obligation posée par l’art. 59 al. 3bis LCI s’examine non seulement du point de vue quantitatif mais également qualitatif, ce dernier volet ayant été confié à la CA par le législateur cantonal.</w:t>
      </w:r>
    </w:p>
    <w:p>
      <w:r>
        <w:rPr>
          <w:b/>
        </w:rPr>
        <w:t>E. 29</w:t>
      </w:r>
    </w:p>
    <w:p>
      <w:r>
        <w:t>Au vu de ce qui précède, mal fondé, le recours est rejeté.</w:t>
      </w:r>
    </w:p>
    <w:p>
      <w:r>
        <w:rPr>
          <w:b/>
        </w:rPr>
        <w:t>E. 30</w:t>
      </w:r>
    </w:p>
    <w:p>
      <w:r>
        <w:t>En application des art. 87 al. 1 LPA et 1 et 2 du règlement sur les frais, émoluments et indemnités en procédure administrative du 30 juillet 1986 (RFPA - E 5 10.03), les recourants, qui succombent, sont condamnés, conjointement et solidairement, au paiement d’un émolument s'élevant à CHF 1'000.- ; il est partiellement couvert par l’avance de frais versée à la suite du dépôt du recours. Vu l’issue du litige, aucune indemnité de procédure ne sera allouée (art. 87 al. 2 LPA).</w:t>
      </w:r>
    </w:p>
    <w:p>
      <w:r>
        <w:t>- 21/21 - A/1832/2024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