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JTAPI/256/2024 vom 13. März 2024</w:t>
      </w:r>
    </w:p>
    <w:p>
      <w:r>
        <w:t>GE Cour de justice, 2024-03-13, FR</w:t>
      </w:r>
    </w:p>
    <w:p>
      <w:r>
        <w:rPr>
          <w:b/>
        </w:rPr>
        <w:t xml:space="preserve">Quelle: </w:t>
      </w:r>
      <w:r>
        <w:t>https://mcp.opencaselaw.ch/entscheid/ge_gerichte_JTAPI_256_2024</w:t>
      </w:r>
    </w:p>
    <w:p>
      <w:r>
        <w:t>FR: GE_GERICHTE JTAPI/256/2024 du 13 mars 2024</w:t>
      </w:r>
    </w:p>
    <w:p>
      <w:r>
        <w:t>IT: GE_GERICHTE JTAPI/256/2024 del 13 marzo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w:t>
      </w:r>
    </w:p>
    <w:p>
      <w:r>
        <w:t>- 7/9 - A/963/2024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il apparait que le couple traverse une période difficile depuis plusieurs années déjà, ce qui a d’ailleurs conduit à sa séparation en 2022. Dans ce cadre, le domicile familial a été attribué exclusivement à Mme B______. Il ressort toutefois des déclarations des parties que M. A______ est revenu au domicile conjugal. Si l’intéressé explique que ce n’est que de temps en temps, Mme B______ indique en revanche qu’il s’y est véritablement réinstallé et ce contre sa volonté. Les déclarations y relatives de M. A______ apparaissent crédibles et il est manifeste que cette cohabitation a créé des tensions. Lors de l’audience, Mme B______ a réitéré son souhait que M. A______ ne vienne plus s’installer chez elle et ce dernier semble désormais l’avoir compris, indiquant qu’il n’avait plus aucune intention de revenir au domicile familial. Il est également ressorti de l’audience que les deux parents s’occupaient des enfants et qu’ils souhaitaient que cela demeure ainsi pour l’avenir. Il s’agira désormais pour eux d’en définir les modalités de manière à éviter la réitération de nouvelles tensions entre eux. Dans la mesure où les deux parties disposent désormais d’un conseil, ces modalités pourront être organisées par l’intermédiaire de ces derniers, en prévision de la fin de la mesure d’éloignement. Il apparait ainsi opportun, à ce stade, de ne pas lever la mesure d’éloignement, quand bien même il est évident que cette mesure ne permettra pas, à elle seule, de régler la situation.</w:t>
      </w:r>
    </w:p>
    <w:p>
      <w:r>
        <w:t>- 8/9 - A/963/2024</w:t>
      </w:r>
    </w:p>
    <w:p>
      <w:r>
        <w:rPr>
          <w:b/>
        </w:rPr>
        <w:t>E. 6</w:t>
      </w:r>
    </w:p>
    <w:p>
      <w:r>
        <w:t>Par conséquent, l'opposition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- 9/9 - A/963/2024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