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JTAPI/255/2022 vom 20. Oktober 2010</w:t>
      </w:r>
    </w:p>
    <w:p>
      <w:r>
        <w:t>GE Cour de justice, 2010-10-20, FR</w:t>
      </w:r>
    </w:p>
    <w:p>
      <w:r>
        <w:rPr>
          <w:b/>
        </w:rPr>
        <w:t xml:space="preserve">Quelle: </w:t>
      </w:r>
      <w:r>
        <w:t>https://mcp.opencaselaw.ch/entscheid/ge_gerichte_JTAPI_255_2022</w:t>
      </w:r>
    </w:p>
    <w:p>
      <w:r>
        <w:t>FR: GE_GERICHTE JTAPI/255/2022 du 20 octobre 2010</w:t>
      </w:r>
    </w:p>
    <w:p>
      <w:r>
        <w:t>IT: GE_GERICHTE JTAPI/255/2022 del 20 ottobre 2010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Le recourant sollicite sa comparution personnelle.</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w:t>
      </w:r>
    </w:p>
    <w:p>
      <w:r>
        <w:t>- 8/17 - A/3849/2021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Le droit d'être entendu ne confère pas le droit d'être entendu oralement, ni celui d'obtenir l'audition de témoins (art. 41 in fine LPA ; ATF 134 I 140 consid. 5.3).</w:t>
      </w:r>
    </w:p>
    <w:p>
      <w:r>
        <w:rPr>
          <w:b/>
        </w:rPr>
        <w:t>E. 7</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En tout état, celui-ci a eu la possibilité de faire valoir ses arguments, dans le cadre de son recours puis de sa réplique, et de produire tout moyen de preuve utile en annexe de ses écritures, sans qu’il n'explique quels éléments la procédure écrite l’aurait empêché d'exprimer de manière pertinente et complète. Par conséquent, sa demande d'instruction, en soi non obligatoires, sera rejetée.</w:t>
      </w:r>
    </w:p>
    <w:p>
      <w:r>
        <w:rPr>
          <w:b/>
        </w:rPr>
        <w:t>E. 8</w:t>
      </w:r>
    </w:p>
    <w:p>
      <w:r>
        <w:t>Le recourant conteste en substance le refus de l’OCPM de renouveler son autorisation de séjour.</w:t>
      </w:r>
    </w:p>
    <w:p>
      <w:r>
        <w:rPr>
          <w:b/>
        </w:rPr>
        <w:t>E. 9</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10</w:t>
      </w:r>
    </w:p>
    <w:p>
      <w:r>
        <w:t>Le 1er janvier 2019 est entrée en vigueur une révision de la loi fédérale sur les étrangers du 16 décembre 2005 (LEtr - RO 2007 5437), intitulée depuis lors loi fédérale sur les étrangers et l'intégration (LEI). Selon l'art. 126 al. 1 LEI, les demandes déposées avant l'entrée en vigueur de cette révision sont régies par l'ancien droit (arrêt du Tribunal fédéral 2C_94/2020 du 4 juin 2020 consid. 3.1). En l’espèce, le recourant a déposé sa requête tendant au renouvellement de son autorisation de séjour avant le 1er janvier 2019. Partant, l’ancien droit demeure applicable à la présente cause.</w:t>
      </w:r>
    </w:p>
    <w:p>
      <w:r>
        <w:rPr>
          <w:b/>
        </w:rPr>
        <w:t>E. 11</w:t>
      </w:r>
    </w:p>
    <w:p>
      <w:r>
        <w:t>Selon l'art. 43 LEI, le conjoint étranger du titulaire d’une autorisation d’établissement ainsi que ses enfants célibataires étrangers de moins de 18 ans ont droit à l’octroi d’une autorisation de séjour et à la prolongation de sa durée de validité à certaines conditions.</w:t>
      </w:r>
    </w:p>
    <w:p>
      <w:r>
        <w:t>- 9/17 - A/3849/2021 À teneur de l'art. 50 al. 1 let. a LEI, après dissolution de la famille, le droit du conjoint et des enfants à l'octroi d'une autorisation de séjour et à la prolongation de sa durée de validité en vertu de l'art. 43 LEI subsiste si l'union conjugale a duré au moins trois ans et l’intégration est réussie. Ces deux conditions sont cumulatives (ATF 140 II 345 consid. 4).</w:t>
      </w:r>
    </w:p>
    <w:p>
      <w:r>
        <w:rPr>
          <w:b/>
        </w:rPr>
        <w:t>E. 12</w:t>
      </w:r>
    </w:p>
    <w:p>
      <w:r>
        <w:t>Un étranger s'est bien intégré, au sens de l'art. 50 al. 1 let. a LEI, notamment lorsqu'il respecte l'ordre juridique suisse ainsi que les valeurs de la Constitution fédérale (art. 77 al. 4 let. a OASA), manifeste sa volonté de participer à la vie économique, d'acquérir une formation, ainsi que d'apprendre la langue nationale parlée au lieu de domicile (art. 77 al. 4 let. b OASA)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En revanche,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ses compatriotes fournit un indice d'un manque d'intégration suffisante (ATA/813/2015 précité et les références citées).</w:t>
      </w:r>
    </w:p>
    <w:p>
      <w:r>
        <w:rPr>
          <w:b/>
        </w:rPr>
        <w:t>E. 13</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En matière de droit des étrangers, l'art. 90 LEI met un devoir spécifique de collaborer à la constatation des faits déterminants à la charge de l'étranger ou des tiers participants (ATF 142 II 265 consid. 3.2).</w:t>
      </w:r>
    </w:p>
    <w:p>
      <w:r>
        <w:t>- 10/17 - A/3849/2021</w:t>
      </w:r>
    </w:p>
    <w:p>
      <w:r>
        <w:rPr>
          <w:b/>
        </w:rPr>
        <w:t>E. 14</w:t>
      </w:r>
    </w:p>
    <w:p>
      <w:r>
        <w:t>En l’espèce, le recourant ne peut plus se prévaloir de l’art. 43 LEI pour obtenir le renouvellement de son autorisation de séjour, étant donné qu’il a divorcé de Mme B______ le 7 décembre 2016. La question se pose dès lors de savoir s’il peut prétendre à la prolongation de son titre de séjour sur la base de l’art. 50 al. 1 LEI. Il a vécu en ménage commun avec la précitée du 20 octobre 2010, date de son mariage à Genève jusqu’au mois d’août 2014, au moment où il a quitté le domicile conjugal. La vie commune a ainsi duré plus de trois ans. Il convient d’examiner si la condition de l’intégration est remplie. Tel n’est en l’occurrence pas le cas. En effet, il ne travaille plus depuis 2014 et ne subsiste que grâce à l’assistance de sa concubine. Par ailleurs, des actes de défaut de biens ont été délivrés à son encontre pour un montant total CHF 68'698.-. Enfin, il a été condamné pour lésions corporelles simples ainsi qu’à trois reprises pour violation d’une obligation d’entretien.</w:t>
      </w:r>
    </w:p>
    <w:p>
      <w:r>
        <w:rPr>
          <w:b/>
        </w:rPr>
        <w:t>E. 15</w:t>
      </w:r>
    </w:p>
    <w:p>
      <w:r>
        <w:t>La question se pose de savoir s’il peut se prévaloir de l’art. 50 al. 1 let. b LEI. À teneur de cette disposition, après dissolution de la famille, le droit du conjoint et des enfants à l'octroi d'une autorisation de séjour et à la prolongation de sa durée de validité en vertu des art. 42 et 43 LEI subsiste également lorsque la poursuite du séjour du recourant en Suisse s'impose pour des raisons personnelles majeures au sens de l’art. 50 al. 2 LEI. En l’espèce, l’intéressé fait valoir dans son recours, qu’il a été victime à plusieurs reprises d’agressions physiques de la part de Mme B______, ainsi que de diffamation de sa part. Cela étant, il n’apporte aucun document tendant à accréditer cette thèse. Il n’allègue pas non plus qu’une réintégration dans son pays se révélerait fortement compromise. En conséquence, il ne peut pas non plus tirer de droit de l’art. 50 al. 1 let. b et al. 2 LEI pour demander la prolongation de son titre de séjour.</w:t>
      </w:r>
    </w:p>
    <w:p>
      <w:r>
        <w:rPr>
          <w:b/>
        </w:rPr>
        <w:t>E. 16</w:t>
      </w:r>
    </w:p>
    <w:p>
      <w:r>
        <w:t>Il convient d’examiner si le recourant peut tirer un droit de séjour en Suisse du fait qu’il fait ménage commun avec sa concubine, Mme D______.</w:t>
      </w:r>
    </w:p>
    <w:p>
      <w:r>
        <w:rPr>
          <w:b/>
        </w:rPr>
        <w:t>E. 17</w:t>
      </w:r>
    </w:p>
    <w:p>
      <w:r>
        <w:t>Sous réserve de circonstances particulières, les fiancés ou les concubins ne sont en principe pas habilités à invoquer l’art. 8 CEDH (arrêt du Tribunal fédéral 2C_389/2017 du 10 janvier 2018 consid. 5.1). Ainsi,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 du Tribunal fédéral 2C_225/2010 du 4 octobre 2010 consid. 2.2).</w:t>
      </w:r>
    </w:p>
    <w:p>
      <w:r>
        <w:t>- 11/17 - A/3849/2021 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w:t>
      </w:r>
    </w:p>
    <w:p>
      <w:r>
        <w:rPr>
          <w:b/>
        </w:rPr>
        <w:t>E. 18</w:t>
      </w:r>
    </w:p>
    <w:p>
      <w:r>
        <w:t>À teneur des commentaires du SEM (domaine des étrangers, octobre 2013, état au 1er mars 2022 (ch. 5.6.3), le partenaire d’une personne au bénéfice d’une autorisation de séjour à l’année (titre de séjour C ou B) peut obtenir une autorisation de séjour en application de l’art. 30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w:t>
      </w:r>
    </w:p>
    <w:p>
      <w:r>
        <w:rPr>
          <w:b/>
        </w:rPr>
        <w:t>E. 19</w:t>
      </w:r>
    </w:p>
    <w:p>
      <w:r>
        <w:t>En l’espèce, le recourant peut a priori se fonder sur la jurisprudence relative au concubinage, dès lors que Mme D______, ressortissante portugaise, est au bénéfice d’une autorisation d’établissement. Il ne ressort pas des pièces du dossier que les relations entre la précitée et l’intéressé s’apparentent à une union conjugale. Il convient au préalable de</w:t>
      </w:r>
    </w:p>
    <w:p>
      <w:r>
        <w:t>- 12/17 - A/3849/2021 préciser que celui-ci n’a pas donné suite aux deux demandes de renseignements que lui a adressées l’OCPM, portant sur la mise à jour de sa situation personnelle après la naissance de son enfant. Ainsi que l’a indiqué sa concubine à l’OCPM le</w:t>
      </w:r>
    </w:p>
    <w:p>
      <w:r>
        <w:rPr>
          <w:b/>
        </w:rPr>
        <w:t>E. 23</w:t>
      </w:r>
    </w:p>
    <w:p>
      <w:r>
        <w:t>Selon la jurisprudence, sous l'angle du droit à une vie familiale, un étranger disposant d'un droit de visite sur son enfant habilité à résider en Suisse peut en</w:t>
      </w:r>
    </w:p>
    <w:p>
      <w:r>
        <w:t>- 13/17 - A/3849/2021 principe exercer ce droit même s'il vit à l'étranger, au besoin en aménageant ses modalités quant à la fréquence et à la durée (ATF 140 I 145 consid. 3.2).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Malgré l'exercice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w:t>
      </w:r>
    </w:p>
    <w:p>
      <w:r>
        <w:rPr>
          <w:b/>
        </w:rPr>
        <w:t>E. 24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w:t>
      </w:r>
    </w:p>
    <w:p>
      <w:r>
        <w:rPr>
          <w:b/>
        </w:rPr>
        <w:t>E. 25</w:t>
      </w:r>
    </w:p>
    <w:p>
      <w:r>
        <w:t>En outre, le parent étranger doit entretenir une relation économique particulièrement forte avec son enfant et avoir fait preuve en Suisse d'un comportement irréprochable (ATF 140 I 145 consid. 3.2). C'est seulement à ces conditions que l'intérêt privé du parent étranger à demeurer en Suisse peut l'emporter sur l'intérêt public que revêt une politique migratoire restrictive (arrêt du Tribunal fédéral 2C_881/2014 d 24 octobre 2014 consid. 3.1). Le lien économique est particulièrement fort lorsque l'étranger verse effectivement à l'enfant des prestations financières dans la mesure décidée par les instances judiciaires civiles (ATF 144 I 91 consid. 5). La contribution à l'entretien peut également avoir lieu en nature, en particulier en cas de garde alternée (ATF 143 I 21 consid. 6.3.5). Il y a lieu de tenir compte de l'importance des prestations en nature consenties en faveur de l'enfant, l'exercice d'un droit de visite équivalant à une quasi garde alternée confirmant sous l'angle des prestations en nature l'existence de liens économiques étroits (arrêt du Tribunal fédéral 2C_821/2016</w:t>
      </w:r>
    </w:p>
    <w:p>
      <w:r>
        <w:t>- 14/17 - A/3849/2021 du 2 février 2018 consid. 5.2.2). L'absence de versement de la pension alimentaire doit être appréciée de manière objective, sans égard aux raisons d'un tel manquement (arrêts du Tribunal fédéral 2C_797/2014 du 13 février 2015 consid. 4.4). Le Tribunal fédéral a certes admis qu'il convenait de distinguer la situation dans laquelle l'étranger ne contribuait pas à l'entretien de l'enfant faute d'avoir été autorisé à travailler, de celle dans laquelle il ne faisait aucun effort pour trouver un emploi (arrêt du Tribunal fédéral 2A.516/1999 du 16 février 2000 consid. 4 bb). Les exigences relatives à l'étendue de la relation que l'étranger doit entretenir avec son enfant d'un point de vue affectif et économique doivent rester dans l'ordre du possible et du raisonnable (arrêt du Tribunal fédéral 2C_1125/2014 du 9 septembre 2015 consid. 4.6.2).</w:t>
      </w:r>
    </w:p>
    <w:p>
      <w:r>
        <w:rPr>
          <w:b/>
        </w:rPr>
        <w:t>E. 26</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(par exemple: le Mexique, cf. ATF 139 I 315 consid. 3.1).</w:t>
      </w:r>
    </w:p>
    <w:p>
      <w:r>
        <w:rPr>
          <w:b/>
        </w:rPr>
        <w:t>E. 27</w:t>
      </w:r>
    </w:p>
    <w:p>
      <w:r>
        <w:t>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par. 89 ; Nunez c. Norvège du 28 juin 2011, req. n° 55597/09, par. 70).</w:t>
      </w:r>
    </w:p>
    <w:p>
      <w:r>
        <w:rPr>
          <w:b/>
        </w:rPr>
        <w:t>E. 28</w:t>
      </w:r>
    </w:p>
    <w:p>
      <w:r>
        <w:t>En l’espèce, le recourant peut a priori invoquer l’art. 8 CEDH. En effet, ses deux enfants disposent d’un droit de présence assuré en Suisse, puisque C______ est ressortissant helvétique et qu’E______ dispose d’une autorisation d’établissement. L’intéressé ne vit pas en ménage commun avec la mère de C______, ayant divorcé d’avec celle-ci. À teneur d’une attestation du SPMi du 21 janvier 2022, un mandat de curatelle d’organisation et de surveillance des relations personnelles entre lui et son fils a été mis en place par le Tribunal de protection de l'adulte et de l'enfant. Il bénéficie d’un droit de visite à raison d’un weekend sur deux et durant la moitié des vacances scolaires. Il entretien des liens réguliers avec son fils. Dans une attestation du 17 janvier 2022, Mme B______ confirme ce fait. Il résulte de ce qui précède que le recourant entretient des relations étroites et effectives avec C______ d'un point de vue affectif.</w:t>
      </w:r>
    </w:p>
    <w:p>
      <w:r>
        <w:t>- 15/17 - A/3849/2021 Toutefois, tel n’est pas le cas du point de vue économique, puisqu’il n’a jamais subvenu financièrement à ses besoins. Il a, d’ailleurs été condamné à trois reprises pour violation d’une contribution d’entretien envers son fils (art. 217 al. 1 du Code pénal suisse du 21 décembre 1937 - CP - RS 311.0) pour les périodes pénales s’étendant de décembre 2015 à novembre 2016 et de novembre 2017 à octobre 2019. À cet égard, le recourant ne saurait valablement justifier ses manquements en invoquant le fait qu’il ne disposait pas d’autorisation de séjour. En effet, ne peut être puni pour violation de l’art. 217 al. 1 CP que l’auteur qui ne dispose pas de moyens suffisants pour s’acquitter de son obligation et que, d’autre part, qui ne saisit pas les occasions de gain qui lui sont offertes et qu’il pourrait accepter (Marie DOLIVO-BONVIN in Alain MACALUSO, Laurent MOREILLON, Nicolas QUELOZ, Commentaire romand du Code pénal II, art. 271, § 11, p. 1074). Or, dans son ordonnance du 24 mai 2016, le Ministère public a retenu que le recourant n’avait pas exercé d’activité lucrative et qu’il n’avait pas entrepris la moindre démarche en vue de se réinsérer sur le marché du travail. Il était toléré à séjourner, de sorte que sa situation administrative ne constituait pas un motif l’empêchant de retrouver un emploi. L’intéressé vit en ménage commun avec la mère d’E______. S’il peut être retenu qu’il entretient des relations étroites et effectives avec sa fille, il ne peut en revanche être admis qu’il participe à son entretien du point de vue financier, dès lors qu’il ne dispose d’aucun revenu et qu’il n’a entrepris aucune démarche en vue de se réinsérer sur le marché de l’emploi. Par ailleurs, E______ est née en avril 2019. Or, à ce moment-là, l’autorisation d’établissement de l’intéressé était échue depuis trois ans et demi. À ce moment, il devait savoir que son statut administratif en Suisse était précaire.</w:t>
      </w:r>
    </w:p>
    <w:p>
      <w:r>
        <w:rPr>
          <w:b/>
        </w:rPr>
        <w:t>E. 29</w:t>
      </w:r>
    </w:p>
    <w:p>
      <w:r>
        <w:t>Enfin, la question se pose de savoir si le recourant peut tirer un droit de séjour sur la base de l’accord du 21 juin 1999 entre la Confédération suisse d'une part, et la Communauté européenne et ses États membres, d'autre part, sur la libre circulation des personnes (ALCP - RS 0.142.112.681), dès lors que sa fille E______ dispose de la nationalité portugaise et bénéficie d'une autorisation d'établissement.</w:t>
      </w:r>
    </w:p>
    <w:p>
      <w:r>
        <w:rPr>
          <w:b/>
        </w:rPr>
        <w:t>E. 30</w:t>
      </w:r>
    </w:p>
    <w:p>
      <w:r>
        <w:t>Depuis l’entrée en vigueur du nouveau droit de l’autorité parentale au 1er juillet 2014, il est possible, pour des parents non mariés, de faire une déclaration commune d’autorité parentale conjointe (art. 298a al. 1 du Code civil suisse du 10 décembre 1907 - CC - RS 210), laquelle suppose ex lege que les parents veulent assumer conjointement la responsabilité de l’enfant et qu’ils se sont entendus sur les autres effets accessoires comme la garde, les relations personnelles, la participation à la prise en charge et la contribution à l’entretien de l’enfant (art. 298a al. 2 CC). Jusqu’au dépôt de la déclaration, l’enfant est soumis à l’autorité parentale exclusive de la mère (art. 298a al. 5 CC). La garde est ainsi organisée à l'amiable entre les parents ou par le juge, si le bien de l'enfant le</w:t>
      </w:r>
    </w:p>
    <w:p>
      <w:r>
        <w:t>- 16/17 - A/3849/2021 commande. Il en va de même pour les contributions d’entretien dues à leur enfant que les parents non-mariés peuvent, par convention, fixer ou modifier, en faisant approuver leur accord par l'autorité de protection de l'enfant (art. 287 al. 1 CC).</w:t>
      </w:r>
    </w:p>
    <w:p>
      <w:r>
        <w:rPr>
          <w:b/>
        </w:rPr>
        <w:t>E. 31</w:t>
      </w:r>
    </w:p>
    <w:p>
      <w:r>
        <w:t>En l’occurrence, il ne ressort pas des pièces du dossier que l’intéressé et la mère d’E______ ont effectué une déclaration commune au sens de l’art. 298a al. 1 CC. Dès lors, l’enfant est soumis à l’autorité parentale exclusive de sa mère. Aucun document ne démontre par ailleurs qu’il aurait eu la garde de sa fille. Or, la garde d'un enfant au bénéfice d'un droit de séjour en Suisse est une condition essentielle, selon la jurisprudence de la Cour de justice de l'Union européenne (arrêt du 19 octobre 2004 C-200/02 Zhu et Chen, n° 45 ss), reprise par le Tribunal fédéral (arrêt 2C_60/2016 du 25 mai 2016 consid. 3.2), pour que le parent étranger puisse lui-même prétendre à un droit de séjour en Suisse sur la base de l'ALCP. Partant, le recourant ne peut se prévaloir de cet accord.</w:t>
      </w:r>
    </w:p>
    <w:p>
      <w:r>
        <w:rPr>
          <w:b/>
        </w:rPr>
        <w:t>E. 32</w:t>
      </w:r>
    </w:p>
    <w:p>
      <w:r>
        <w:t>Il résulte de ce qui précède que l'OCPM n'a violé ni le droit conventionnel, ni le droit fédéral, ni encore excédé ou abusé de son pouvoir d'appréciation (art. 96 LEI) en rejetant la demande formulée par le recourant.</w:t>
      </w:r>
    </w:p>
    <w:p>
      <w:r>
        <w:rPr>
          <w:b/>
        </w:rPr>
        <w:t>E. 33</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w:t>
      </w:r>
    </w:p>
    <w:p>
      <w:r>
        <w:rPr>
          <w:b/>
        </w:rPr>
        <w:t>E. 34</w:t>
      </w:r>
    </w:p>
    <w:p>
      <w:r>
        <w:t>Dès lors qu'il a refusé de renouveler l’autorisation de séjour du recourant, l’OCPM devait ordonner son renvoi de Suisse en application de l'art. 64 al. 1 let. c LEI, ne disposant, dans ce cadre, d’aucun pouvoir d’appréciation, étant relevé qu’il ne se prévaut d’aucun obstacle à l’exécution de son renvoi en Guinée- Bissau.</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36</w:t>
      </w:r>
    </w:p>
    <w:p>
      <w:r>
        <w:t>En vertu des art. 89 al. 2 et 111 al. 2 de la loi sur le Tribunal fédéral du 17 juin 2005 (LTF - RS 173.110), le présent jugement sera communiqué au secrétariat d'État aux migrations.</w:t>
      </w:r>
    </w:p>
    <w:p>
      <w:r>
        <w:t>- 17/17 - A/3849/2021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