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JTAPI/253/2025 vom 11. März 2025</w:t>
      </w:r>
    </w:p>
    <w:p>
      <w:r>
        <w:t>GE Cour de justice, 2025-03-11, FR</w:t>
      </w:r>
    </w:p>
    <w:p>
      <w:r>
        <w:rPr>
          <w:b/>
        </w:rPr>
        <w:t xml:space="preserve">Quelle: </w:t>
      </w:r>
      <w:r>
        <w:t>https://mcp.opencaselaw.ch/entscheid/ge_gerichte_JTAPI_253_2025</w:t>
      </w:r>
    </w:p>
    <w:p>
      <w:r>
        <w:t>FR: GE_GERICHTE JTAPI/253/2025 du 11 mars 2025</w:t>
      </w:r>
    </w:p>
    <w:p>
      <w:r>
        <w:t>IT: GE_GERICHTE JTAPI/253/2025 del 11 marzo 2025</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28 février 2025 est recevable et la décision du tribunal intervient dans le respect du délai légal susmentionné.</w:t>
      </w:r>
    </w:p>
    <w:p>
      <w:r>
        <w:rPr>
          <w:b/>
        </w:rPr>
        <w:t>E. 4</w:t>
      </w:r>
    </w:p>
    <w:p>
      <w:r>
        <w:t>Selon l'art. 80 al. 6 LEI, la détention est levée dans les cas suivants : a. le motif de la détention n’existe plus ou l’exécution du renvoi ou de l’expulsion s’avère impossible pour des raisons juridiques ou matérielles ; b. la demande de levée de la détention est admise ; c. la personne détenue doit subir une peine ou une mesure privative de liberté.</w:t>
      </w:r>
    </w:p>
    <w:p>
      <w:r>
        <w:t>- 10/13 - A/702/2025</w:t>
      </w:r>
    </w:p>
    <w:p>
      <w:r>
        <w:rPr>
          <w:b/>
        </w:rPr>
        <w:t>E. 5</w:t>
      </w:r>
    </w:p>
    <w:p>
      <w:r>
        <w:t>Selon l'art. 80 al. 4 LEI, l'autorité judiciaire qui examine la décision de détention de maintien ou de levée tient compte de la situation familiale de la personne détenue et des conditions d'exécution de la détention.</w:t>
      </w:r>
    </w:p>
    <w:p>
      <w:r>
        <w:rPr>
          <w:b/>
        </w:rPr>
        <w:t>E. 6</w:t>
      </w:r>
    </w:p>
    <w:p>
      <w:r>
        <w:t>Interprétant cette disposition, le Tribunal fédéral a retenu, dans l’ATF 149 II 6 du 13 octobre 2022, qu’au vu de la situation spécifique des personnes placées en détention administrative, il n’était pas justifié d’interdire de manière générale l’accès à Internet (consid. 5.2.2). Il était important que les personnes en détention administrative puissent conserver des liens sociaux et des contacts avec leur pays d’origine, et par voie de conséquence qu’elles devraient avoir accès à Internet. Il n’existait par ailleurs aucun impératif sécuritaire ou en lien avec le bon fonctionnement de l’établissement qui justifierait une restriction à Internet. Un refus général d’accéder à Internet était par conséquent contraire aux recommandations internationales et constituait une restriction disproportionnée aux libertés d’opinion et d’information (art. 16 Cst. et 10 CEDH ; consid. 5.2.3).</w:t>
      </w:r>
    </w:p>
    <w:p>
      <w:r>
        <w:rPr>
          <w:b/>
        </w:rPr>
        <w:t>E. 7</w:t>
      </w:r>
    </w:p>
    <w:p>
      <w:r>
        <w:t>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b. pour les cas liés à un transfert Dublin : par l’art. 28, al. 4, du règlement (UE) no 604/2013241 ( ) (al. 4).</w:t>
      </w:r>
    </w:p>
    <w:p>
      <w:r>
        <w:rPr>
          <w:b/>
        </w:rPr>
        <w:t>E. 8</w:t>
      </w:r>
    </w:p>
    <w:p>
      <w:r>
        <w:t>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 GE).</w:t>
      </w:r>
    </w:p>
    <w:p>
      <w:r>
        <w:t>Selon le Tribunal fédéral, les garanties de la CEDH relatives aux conditions de détention n'offrent pas une protection plus étendue que celles garanties par la Constitution fédérale (ATF 145 I 318 consid. 2.1 ; 143 I 241 consid. 3.4).</w:t>
      </w:r>
    </w:p>
    <w:p>
      <w:r>
        <w:rPr>
          <w:b/>
        </w:rPr>
        <w:t>E. 9</w:t>
      </w:r>
    </w:p>
    <w:p>
      <w:r>
        <w:t>Si les conditions de détention ne respectent pas les exigences légales, il appartient au juge d'ordonner les mesures qui s'imposent ou – s'il n'est pas possible d'assurer une détention conforme à la loi dans les locaux de l'établissement de détention</w:t>
      </w:r>
    </w:p>
    <w:p>
      <w:r>
        <w:t>- 11/13 - A/702/2025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10</w:t>
      </w:r>
    </w:p>
    <w:p>
      <w:r>
        <w:t>En l’espèce, il ressort du dossier que le centre dans lequel M. A______ est actuellement détenu ne propose effectivement pas d’accès à internet. Conformément à l’arrêt précité (ATF 149 II 6), cette situation viole la liberté d’opinion et d’information de M. A______ et va au-delà de ce qui parait nécessaire pour le but de détention des mesures de contrainte relevant du droit des étrangers (consid. 5.4). La restriction n’est justifiée ni par les exigences du fonctionnement de l’établissement ni pour des raisons de sécurité à teneur de l’arrêt du Tribunal fédéral, ce que l’établissement valaisan concerné n’allègue d’ailleurs pas. Cette situation n’entraîne pas l’illicéité des conditions de détention, mais implique que l’établissement aménage une possibilité d’accès à internet, éventuellement limitée dans le temps et l’espace, selon le Tribunal fédéral.</w:t>
      </w:r>
    </w:p>
    <w:p>
      <w:r>
        <w:rPr>
          <w:b/>
        </w:rPr>
        <w:t>E. 11</w:t>
      </w:r>
    </w:p>
    <w:p>
      <w:r>
        <w:t>Par conséquent, les conditions de détention de M. A______ doivent être adaptées dans le sens des considérants. Si cela n’est pas possible, l’intéressé devra être transféré dans un lieu qui satisfait à l’exigence précitée.</w:t>
      </w:r>
    </w:p>
    <w:p>
      <w:r>
        <w:rPr>
          <w:b/>
        </w:rPr>
        <w:t>E. 12</w:t>
      </w:r>
    </w:p>
    <w:p>
      <w:r>
        <w:t>Le délai pour l’adaptation sera toutefois supérieur aux 5 jours retenus dans l’ATF du 13 octobre 2022, au vu des différences importantes dans les conditions de détention, comme l’avait fait la chambre administrative de la Cour de justice dans un arrêt 6 décembre 2022 dans un cas très similaire (ATA/1218/2022). En effet, l’établissement valaisan n’est pas opposé à un tel accès mais n’en dispose actuellement pas, indépendamment de sa volonté. De même, l’intéressé peut circuler librement et n’est pas enfermé dans sa chambre, a un accès à un appareil téléphonique qui n’apparait pas être limité dans le temps et qui possède un système de visio-conférence sur demande et sans limitation. Il peut accéder à une salle de sport tous les jours de 8h30 à 11h30 et bénéficie d’une promenade extérieure entre 8h30 et 11h30 et de 13h45 à 16h30. Rien n’indique qu’il ne puisse pas recevoir de visites, ce qu’il ne fait en tout cas pas valoir. Enfin, il peut entrer en contact avec des aumôniers et des bénévoles une fois par semaine et, contrairement à ses déclarations, il a accès à quelques livres, même s’il ne s’agit pas d’une bibliothèque entière, de même qu’à des jeux de cartes et des jeux de société. Ces éléments permettent sans conteste une vie sociale beaucoup plus étendue que celle des personnes en détention dans l’établissement de Moutier concernée dans l’ATF susmentionné, qui subissent un enfermement en cellule dix-huit heures par jour. De surcroît, sans minimiser l’atteinte portée à la liberté d’opinion et d’information de l’intéressé, il ne ressort pas du dossier qu’il se soit régulièrement plaint auprès de la direction de l’établissement de l’absence d’accès à internet voire qu’il l’ait, préalablement au présent recours, demandé, étant souligné que, dans sa demande de mise en liberté, il précise se trouver sur ce lieu de détention depuis plusieurs mois. Selon son conseil, il aurait dû être calmé à plusieurs reprises car il se plaignait</w:t>
      </w:r>
    </w:p>
    <w:p>
      <w:r>
        <w:t>- 12/13 - A/702/2025 de ses conditions de détention, alors que, au contraire, M. F______ indique qu’il n’a pas eu connaissance d’un mécontentement de M. A______ et que ce dernier avait mis en avant la bonne prise en charge et le bon relationnel entre les détenus et les collaborateurs lors de la visite de la CNPT. Enfin, concernant l’accès à des activités, s’il est regrettable que les ateliers ne soient pas accessibles de manière régulière, il doit toute de même être retenu que des activités sont proposées aux personnes détenues telles que l’intendance, la buanderie et des ateliers cuisine, et M. A______ a indiqué, lors de l’audience, avoir pris l’initiative de faire du nettoyage.</w:t>
      </w:r>
    </w:p>
    <w:p>
      <w:r>
        <w:rPr>
          <w:b/>
        </w:rPr>
        <w:t>E. 13</w:t>
      </w:r>
    </w:p>
    <w:p>
      <w:r>
        <w:t>Le délai sera en conséquence fixé au lundi 24 mars 2025, délai tenant compte des indications de la représentante de l’OCPM lors de l’audience du 10 mars 2025 de la possibilité de déplacer l’intéressé dans un autre lieu de détention dans un délai de deux semaines, et des conditions actuelles de détention sus-décrites. À défaut d’adaptation des conditions de détention, ou d’un changement d’établissement, M. A______ devra être libéré au plus tard à cette date.</w:t>
      </w:r>
    </w:p>
    <w:p>
      <w:r>
        <w:rPr>
          <w:b/>
        </w:rPr>
        <w:t>E. 14</w:t>
      </w:r>
    </w:p>
    <w:p>
      <w:r>
        <w:t>Au vu de ce qui précède, la demande de mise en liberté sera admise dans le sens des considérants.</w:t>
      </w:r>
    </w:p>
    <w:p>
      <w:r>
        <w:rPr>
          <w:b/>
        </w:rPr>
        <w:t>E. 15</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- 13/13 - A/702/2025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