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JTAPI/253/2024 vom 21. März 2024</w:t>
      </w:r>
    </w:p>
    <w:p>
      <w:r>
        <w:t>GE Cour de justice, 2024-03-21, FR</w:t>
      </w:r>
    </w:p>
    <w:p>
      <w:r>
        <w:rPr>
          <w:b/>
        </w:rPr>
        <w:t xml:space="preserve">Quelle: </w:t>
      </w:r>
      <w:r>
        <w:t>https://mcp.opencaselaw.ch/entscheid/ge_gerichte_JTAPI_253_2024</w:t>
      </w:r>
    </w:p>
    <w:p>
      <w:r>
        <w:t>FR: GE_GERICHTE JTAPI/253/2024 du 21 mars 2024</w:t>
      </w:r>
    </w:p>
    <w:p>
      <w:r>
        <w:t>IT: GE_GERICHTE JTAPI/253/2024 del 21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Interjeté en temps utile et dans les formes prescrites devant la juridiction compétente, le recours est recevable au sens des art. 62 à 65 LPA. 3. La recevabilité d’un recours suppose encore que son auteur dispose de la qualité pour recourir. 4. La qualité pour recourir est notamment reconnue à toute personne atteinte par la décision attaquée et qui dispose d’un intérêt digne de protection à son annulation ou à sa modification (art. 60 al. 1 let. b LPA). Cette notion d’intérêt digne de protection s’interprète à la lumière de la jurisprudence fédérale rendue en application de l’art. 89 al. 1 de la loi fédérale sur le Tribunal fédéral du 17 juin 2005 (LTF - RS 173.110 ; ATF 144 I 43 consid. 2.1 ; arrêt du Tribunal fédéral 1C_170/2018 du 10 juillet 2018 consid. 4.1 ; ATA/1346/2023 du 12 décembre 2023 consid. 2.2).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arrêt du Tribunal fédéral 9C_852/2017 du 25 juin 2018 consid. 2.2.2). Il découle d’ailleurs du texte de l’art. 89 al. 1 let. b LTF que le législateur a voulu rendre encore plus stricte la condition de l’intérêt personnel au recours, puisqu’il est précisé que le recourant doit être « particulière-ment atteint » par l’acte attaqué (ATF 137 II 40 consid. 2.3</w:t>
      </w:r>
    </w:p>
    <w:p>
      <w:r>
        <w:t>- 22/35 - A/1316/2023 ; cf. aussi Pierre MOOR/Etienne POLTIER, Droit administratif, vol. II, 2011, pp. 734 s.). L’intérêt digne de protection, qui ne doit pas nécessairement être de nature juridique, un intérêt de fait étant suffisant (ATF 148 I 160 consid. 1.4 ; 144 I 43 consid. 2.1 ; arrêt du Tribunal fédéral 1C_91/2023 du 12 février 2024 consid. 1.1), réside dans le fait d’éviter de subir directement un préjudice de nature économi- 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(ATF 144 I 43 consid. 2.1 ; arrêts du Tribunal fédéral 1C_442/2020 du 4 mars 2021 consid. 1.2.1 ; 1C_382/ 2020 du 16 novembre 2020 consid. 4.1). Tel n’est notamment pas le cas de celui qui n’est atteint que de manière indirecte ou médiate (ATF 138 V 292 consid. 4 ; 133 V 188 consid. 4.3.1 ; arrêt du Tribunal fédéral 2C_1054/2016, 2C_1059/2016 du 15 décembre 2017 consid. 2.2 ; ATA/988/2016 du 22 novembre 2016 consid. 2d).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notamment que le recours d’un particulier formé dans l’intérêt général et abstrait à la correcte application du droit ou dans l’intérêt de tiers est irrecevable, parce qu’assimilable à une action populaire (cf. ATF 144 I 43 consid. 2.1 ; 139 II 499 consid. 2.2 ; 138 II 162 consid. 2.1.1 ; arrêts du Tribunal fédéral 1C_593/2019 du 19 août 2020 consid. 1.2 ; 1C_170/2018 du 10 juillet 2018 consid. 4.1 ; ATA/752/2023 du 11 juillet 2023 consid. 2.2).</w:t>
      </w:r>
    </w:p>
    <w:p>
      <w:r>
        <w:rPr>
          <w:b/>
        </w:rPr>
        <w:t>E. 5</w:t>
      </w:r>
    </w:p>
    <w:p>
      <w:r>
        <w:t>S’agissant d’un recourant tiers locataire, il convient d’apprécier l’enjeu de la procédure pour lui, en fonction de sa situation concrète, soit d’apprécier la gravité de l’atteinte apportée par le projet à ses intérêts. Le Tribunal fédéral a jugé que s’il existe un moyen de droit privé, même moins commode, à sa disposition pour écarter le préjudice dont il se plaint, la qualité pour agir fondée sur l’intérêt digne de protection doit lui être niée. Les intérêts du locataire dans ses rapports avec le bailleur sont plus spécifiquement protégés par les dispositions spéciales du droit du bail, complétées, le cas échéant, par certaines règles de droit public cantonal (ATF 131 II 649 consid 3.4 ; ATA/950/2022 du 20 septembre 2022 consid. 2d ; ATA/710/2021 du 6 juillet 2021 consid. 4b).</w:t>
      </w:r>
    </w:p>
    <w:p>
      <w:r>
        <w:t>- 23/35 - A/1316/2023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bien-fondés, pourraient abouti à un refus de l’autorisation de construire litigieuse, à l’abandon du projet, voire à un remaniement substantiel de celui-ci, et à la mise en œuvre d’une nouvelle enquête (arrêt du Tribunal fédéral 1C_61/2011 du 4 mai 2011 ; ATA/710/2021 du 6 juillet 2021 consid. 4c ; ATA/985/2020 du 6 octobre 2020 consid. 3c ; ATA/1755/2019 du 3 décembre 2019 consid. 3b ; ATA/181/2013 du 19 mars 2013 consid. 4 et l’arrêt cité).</w:t>
      </w:r>
    </w:p>
    <w:p>
      <w:r>
        <w:rPr>
          <w:b/>
        </w:rPr>
        <w:t>E. 6</w:t>
      </w:r>
    </w:p>
    <w:p>
      <w:r>
        <w:t>En l’espèce, la recourante est locataire de locaux dans l’immeuble concerné par les travaux autorisés. Elle se prévaut pour le surplus de violations de dispositions légales en lien avec le droit de la construction susceptibles d’avoir une incidence concrète sur sa situation de fait. Elle invoque ainsi notamment une violation des art. 14 et 121 LCI. Partant, sa qualité pour recourir sera admise.</w:t>
      </w:r>
    </w:p>
    <w:p>
      <w:r>
        <w:rPr>
          <w:b/>
        </w:rPr>
        <w:t>E. 7</w:t>
      </w:r>
    </w:p>
    <w:p>
      <w:r>
        <w:t>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w:t>
      </w:r>
    </w:p>
    <w:p>
      <w:r>
        <w:rPr>
          <w:b/>
        </w:rPr>
        <w:t>E. 8</w:t>
      </w:r>
    </w:p>
    <w:p>
      <w:r>
        <w:t>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w:t>
      </w:r>
    </w:p>
    <w:p>
      <w:r>
        <w:t>- 24/35 - A/1316/2023</w:t>
      </w:r>
    </w:p>
    <w:p>
      <w:r>
        <w:rPr>
          <w:b/>
        </w:rPr>
        <w:t>E. 9</w:t>
      </w:r>
    </w:p>
    <w:p>
      <w:r>
        <w:t>La question de la recevabilité de certains des griefs soulevés par la recourante sera examinée ci-après.</w:t>
      </w:r>
    </w:p>
    <w:p>
      <w:r>
        <w:rPr>
          <w:b/>
        </w:rPr>
        <w:t>E. 10</w:t>
      </w:r>
    </w:p>
    <w:p>
      <w:r>
        <w:t>À titre liminaire, le tribunal tient à rappeler que 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ATA/353/2023 du 4 avril 2023 consid. 2.1). En l’espèce, le litige porte sur l’autorisation complémentaire DD 7______/3 du ______ 2023 ayant pour objet « modifications diverses du projet initial et des installations techniques », soit : - mise en place d’un réseau sprinkler le long de la vitrine intérieure du D______ pour assurer un rideau d’eau en cas de sinistre à l’intérieur du restaurant ou dans 1c______[GE] pour protéger les personnes concernées et éviter une propagation du feu du passage vers le restaurant ou inversement ; - mise en place d’un compartimentage local respectueux des exigences de la police du feu pour le monobloc de ventilation au 3ème étage ; - mise en place d’un accès permanent pour le service du feu, inexistant jusqu’alors, au monobloc ; - modification de la cuisine du restaurant du 2ème étage par la création de deux voies d’évacuation verticales, soit le couloir et l’escalier de secours. Dans ce cadre, le nouveau concept de protection incendie transmis au département et les plans de protection incendie mis à jour pour refléter les changements du projet ont été validés et la responsable de l’assurance qualité en protection incendie a déposé le 3 mai 2023 la déclaration de conformité AEAI pour le Concept de sécurité incendie avec une seule remarque concernant la porte coupe- feu du local technique présent au palier intermédiaire de cette voie de fuite qui était provisoire dans l’attente de la livraison de la porte définitive.</w:t>
      </w:r>
    </w:p>
    <w:p>
      <w:r>
        <w:rPr>
          <w:b/>
        </w:rPr>
        <w:t>E. 11</w:t>
      </w:r>
    </w:p>
    <w:p>
      <w:r>
        <w:t>Préalablement, la recourante sollicite l’audition de M. K______, directeur du restaurant, l’établissement d’un rapport d’expertise indépendant analysant les voies de fuite prévues par l’autorisation querellée, notamment celle de la cuisine au 2ème étage, au regard des dispositions applicables en la matière ainsi qu’un transport sur place.</w:t>
      </w:r>
    </w:p>
    <w:p>
      <w:r>
        <w:rPr>
          <w:b/>
        </w:rPr>
        <w:t>E. 12</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w:t>
      </w:r>
    </w:p>
    <w:p>
      <w:r>
        <w:t>- 25/35 - A/1316/2023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13</w:t>
      </w:r>
    </w:p>
    <w:p>
      <w:r>
        <w:t>En l’espèce, le tribunal estime que le dossier contient les éléments suffisants et nécessaires à l’établissement des faits pertinents pour traiter les griefs soulevés par la recourante et statuer sur le litige. Cette dernière a en particulier eu la possibilité de faire valoir ses arguments, dans le cadre de son recours puis de sa réplique et de produire tout moyen de preuve utile en annexe de ses écritures. Le département et la partie intimée y ont répondu de façon circonstanciée. Il n’apparaît ainsi pas utile d’ordonner une expertise indépendante aux fins d’analyser les voies de fuite prévues par l’autorisation querellée ni de procéder à l’audition de M. K______, la recourante n’expliquant au demeurant pas quels éléments ce dernier viendrait apporter que la procédure écrite ne lui permettait pas déjà d’exprimer. Enfin, les motifs pour lesquels la recourante souhaite l’annulation de la décision entreprise ressortant clairement du dossier et les plans versés au dossier permettant parfaitement de visualiser les points litigieux du projet, il n’apparaît pas que la tenue d’un transport sur place, acte d’instruction en soi non obligatoire, serait susceptible de fournir des informations pertinentes supplémentaires. Les conclusions préalables de la recourante seront donc rejetées.</w:t>
      </w:r>
    </w:p>
    <w:p>
      <w:r>
        <w:rPr>
          <w:b/>
        </w:rPr>
        <w:t>E. 14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w:t>
      </w:r>
    </w:p>
    <w:p>
      <w:r>
        <w:t>- 26/35 - A/1316/2023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15</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16</w:t>
      </w:r>
    </w:p>
    <w:p>
      <w:r>
        <w:t>La recourante invoque la violation des art. 14 et 121 al. 1 LCI relevant, en substance que l’autorisation querellée aurait été délivrée en contradiction avec l’APA 6______ qui exigeait une voie de fuite annexe à l’escalier central reliant le 2ème au 1er étage du restaurant, laquelle permettait aux collaborateurs d’emprunter, en cas d’incendie, un escalier commun aux bâtiments, voie de fuite également prévue dans la DD 7______/1. Elle soutient que la nouvelle disposition des voies de fuite autorisée n’est pas conforme aux normes de protection incendie, que les normes AEAI applicables n’ont pas été analysées et que le renvoi au rapport de I______ est insuffisant, ce dernier étant imprécis, n’indiquant en particulier pas clairement que le 2ème étage du restaurant devrait se contenter d’une seule voie d’utilisation en guise de voie de fuite. Elle relève encore que le calcul des distances des voies d’évacuation est absent et que la largeur de l’embouchure autorisée d’évacuation du 1er étage est insuffisante.</w:t>
      </w:r>
    </w:p>
    <w:p>
      <w:r>
        <w:rPr>
          <w:b/>
        </w:rPr>
        <w:t>E. 17</w:t>
      </w:r>
    </w:p>
    <w:p>
      <w:r>
        <w:t>L’art. 14 LCI prévoit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18</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w:t>
      </w:r>
    </w:p>
    <w:p>
      <w:r>
        <w:t>- 27/35 - A/1316/2023 autorisation (ATA/811/2021 du 10 août 2021 consid. 6 ; ATA/448/2021 du 27 avril 2021 consid. 8a ; ATA/165/2018 du 20 février 2018 consid. 4b).</w:t>
      </w:r>
    </w:p>
    <w:p>
      <w:r>
        <w:rPr>
          <w:b/>
        </w:rPr>
        <w:t>E. 19</w:t>
      </w:r>
    </w:p>
    <w:p>
      <w:r>
        <w:t>L’art. 14 LCI vise les nuisances issues ou induites par la construction ou l’installation projetée elle-même et non celles provoquées par les modalités de sa réalisation. Ainsi, il n’était pas arbitraire de considérer que les inconvénients causés par un chantier de construction, notamment la circulation temporairement accrue qui en résultait, ne constituent pas des inconvénients graves au sens de cette disposition, même si, suivant les circonstances, ils peuvent être plus ou moins sensibles pour les voisins (arrêt du Tribunal fédéral 1P.530/2002 du 3 février 2002 confirmant l’ATA/447/2002 du 27 août 2002 ; cf. aussi ATA/1220/2020 du 1er décembre 2020 consid. 7a et les arrêts cités ; ATA/399/2020 du 23 avril 2020 consid. 7d).</w:t>
      </w:r>
    </w:p>
    <w:p>
      <w:r>
        <w:rPr>
          <w:b/>
        </w:rPr>
        <w:t>E. 20</w:t>
      </w:r>
    </w:p>
    <w:p>
      <w:r>
        <w:t>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(art. 121 al. 1 LCI). Selon l’art. 121 al. 2 LCI, les exigences imposées pour les constructions et les installations en matière de prévention des incendies sont régies par la norme de protection incendie et les directives de l’AEAI.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ni être la cause d’inconvénients graves, ni offrir des dangers particuliers (notamment incendie, émanations nocives ou explosions) par le fait que la surface de la parcelle sur laquelle elle est établie est insuffisante pour constituer une zone de protection (art. 121 al. 3 let. a LCI).</w:t>
      </w:r>
    </w:p>
    <w:p>
      <w:r>
        <w:rPr>
          <w:b/>
        </w:rPr>
        <w:t>E. 21</w:t>
      </w:r>
    </w:p>
    <w:p>
      <w:r>
        <w:t>Les propriétaires sont responsables, dans l’application de la LCI et sous réserve des droits civils, de la sécurité et de la salubrité des constructions et installations (art. 122 LCI).</w:t>
      </w:r>
    </w:p>
    <w:p>
      <w:r>
        <w:rPr>
          <w:b/>
        </w:rPr>
        <w:t>E. 22</w:t>
      </w:r>
    </w:p>
    <w:p>
      <w:r>
        <w:t>L’art. 120 LCI précise que ces dispositions sont applicables à toutes les constructions, quelle que soit la date de leur établissement.</w:t>
      </w:r>
    </w:p>
    <w:p>
      <w:r>
        <w:rPr>
          <w:b/>
        </w:rPr>
        <w:t>E. 23</w:t>
      </w:r>
    </w:p>
    <w:p>
      <w:r>
        <w:t>Les prescriptions de protection incendie se composent de la norme de protection incendie, qui, d’une part, fixe le cadre de la protection incendie sur le plan des devoirs généraux, de la construction, des équipements de protection incendie et de l’organisation, ainsi que les mesures de défense incendie qui s’y rapportent et, d’autre part, définit les standards de sécurité applicables, et des directives de protection incendie, qui fixent les exigences et les mesures détaillées de sa mise</w:t>
      </w:r>
    </w:p>
    <w:p>
      <w:r>
        <w:t>- 28/35 - A/1316/2023 en œuvre. L’AEAI publie aussi des « notes explicatives », où sont explicitées certaines questions de protection incendie, ainsi que des « aides de travail » visant à faciliter l’application des directives de protection incendie (art. 4, 5 et 6 de ladite norme).</w:t>
      </w:r>
    </w:p>
    <w:p>
      <w:r>
        <w:rPr>
          <w:b/>
        </w:rPr>
        <w:t>E. 24</w:t>
      </w:r>
    </w:p>
    <w:p>
      <w:r>
        <w:t>À teneur de l’art. 2 norme AEAI (« champ d’application ») : 1 Les prescriptions de protection incendie s’appliquent aux bâtiments et aux autres ouvrages à construire ainsi que, par analogie, aux constructions mobilières. 2 Les bâtiments et les autres ouvrages existants seront rendus conformes aux prescriptions de protection incendie, suivant un principe de proportionnalité : a. en cas de transformation, d’agrandissement ou de changement d’affectation importants de la construction ou de l’exploitation ; b. lorsque le danger est particulièrement important pour les personnes.</w:t>
      </w:r>
    </w:p>
    <w:p>
      <w:r>
        <w:rPr>
          <w:b/>
        </w:rPr>
        <w:t>E. 25</w:t>
      </w:r>
    </w:p>
    <w:p>
      <w:r>
        <w:t>L’art. 3 al. 1 norme AEAI prévoit que la prévention incendie doit en particulier être assurée par des mesures organisationnelles, telles que le dégagement des voies d’évacuation et de sauvetage (let. a) et l’ordre irréprochable sur le plan de la technique de protection incendie (let. b). Les propriétaires et les exploitants des bâtiments et des autres ouvrages doivent prendre les mesures nécessaires, sur les plans de l’organisation et du personnel, pour assurer la sécurité incendie (al. 2).</w:t>
      </w:r>
    </w:p>
    <w:p>
      <w:r>
        <w:rPr>
          <w:b/>
        </w:rPr>
        <w:t>E. 26</w:t>
      </w:r>
    </w:p>
    <w:p>
      <w:r>
        <w:t>Les art. 35 à 37 norme AEAI traitent des voies d’évacuation. Selon l’art. 35, est considéré comme voie d’évacuation le chemin le plus court qui peut être emprunté, depuis n’importe quel endroit du bâtiment ou de l’ouvrage, pour rejoindre un lieu sûr à l’air libre ou dans le bâtiment (al. 1). Est considéré comme voie de sauvetage le chemin le plus court vers n’importe quel endroit des bâtiments ou des ouvrages où les sapeurs-pompiers et les équipes de sauvetage doivent intervenir. Les voies d’évacuation peuvent servir de voie de sauvetage (al. 2). Si les voies d’évacuation et de sauvetage horizontales et verticales ne sont pas séparées par une fermeture coupe-feu, les voies d’évacuation et de sauvetage horizontales sont soumises aux mêmes exigences que les voies d’évacuation et de sauvetage verticales (al. 3). L’art. 36 dispose que les voies d’évacuation et de sauvetage doivent être disposées, dimensionnées et réalisées de manière à ce qu’elles puissent toujours être empruntées rapidement et en toute sécurité. Sont notamment déterminants : a. l’affectation et la situation des bâtiments et des autres ouvrages ou des compartiments coupe-feu; b. la géométrie des bâtiments; c .le nombre d’occupants (al. 1). Dans le cadre de questions particulières liées aux exigences des voies d’évacuation, il est possible, en accord avec l’autorité de protection incendie, pour</w:t>
      </w:r>
    </w:p>
    <w:p>
      <w:r>
        <w:t>- 29/35 - A/1316/2023 des zones spécifiques d’un bâtiment ou d’un autre ouvrage de recourir à des méthodes de calcul (al. 2). Il ressort enfin de l’art. 37 que les voies d’évacuation et de sauvetage peuvent servir de voies de communication. Elles doivent toujours rester dégagées et utilisables en toute sécurité. À l’extérieur de l’unité d’utilisation, elles ne doivent pas servir à d’autres usages (al. 1). En fonction de leur affectation et du nombre de niveaux, les cages d’escalier doivent être équipées d’installations d’extraction de chaleur et de fumée donnant directement sur l’extérieur (al. 2).</w:t>
      </w:r>
    </w:p>
    <w:p>
      <w:r>
        <w:rPr>
          <w:b/>
        </w:rPr>
        <w:t>E. 27</w:t>
      </w:r>
    </w:p>
    <w:p>
      <w:r>
        <w:t>D’après la jurisprudence, la norme AEAI est directement applicable à titre de droit intercantonal et l’emporte sur le droit cantonal qui lui serait contraire (arrêts du Tribunal fédéral 1C_666/2021 du 28 juillet 2022 consid. 2.1.1 ; 1C_303/2010 du</w:t>
      </w:r>
    </w:p>
    <w:p>
      <w:r>
        <w:rPr>
          <w:b/>
        </w:rPr>
        <w:t>E. 28</w:t>
      </w:r>
    </w:p>
    <w:p>
      <w:r>
        <w:t>La directive AEAI « Voies d’évacuation et de sauvetage » 16-15 du 1er janvier 2017, état au 1er août 2021 définit les exigences auxquelles doivent répondre ces dernières sur le plan de leur disposition, de leur dimensionnement, de leur exécution, de leur équipement et leur non-obstruction. Dans ce cadre, la catégorie du bâtiment concerné ainsi que le nombre d’occupants des locaux sont notamment pris en compte. Selon son chiffre 2.4.3, la longueur totale des voies d’évacuation est limitée à 35 m lorsqu’elles aboutissent à une seule voie d’évacuation verticale ou une seule issue donnant sur un lieu sûr à l’air libre (al. 1). La largeur exigée pour les portes et pour les voies d’évacuation horizontales et verticales dépend du nombre d’occupants. La largeur des voies d’évacuation est déterminée par le local recevant le plus grand nombre de personnes (voir chiffres 3.5.2 et 3.5.3). La largeur de passage des portes doit être de 0,9 m au minimum. Des dérogations sont possibles en fonction de l’affectation (voir chiffre 3) (chiffre 2.4.5). Quant à son chiffre 3.3.4, il stipule, s’agissant de la voie d’évacuation à l’intérieur d’une unité d’utilisation, qu’il est admis que l’évacuation se fasse par un local voisin (zone polyvalente, par exemple), pour autant qu’il se trouve dans la même unité d’utilisation et permette de rejoindre une voie d’évacuation horizontale ou verticale.</w:t>
      </w:r>
    </w:p>
    <w:p>
      <w:r>
        <w:rPr>
          <w:b/>
        </w:rPr>
        <w:t>E. 29</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w:t>
      </w:r>
    </w:p>
    <w:p>
      <w:r>
        <w:t>- 30/35 - A/1316/2023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références citées).</w:t>
      </w:r>
    </w:p>
    <w:p>
      <w:r>
        <w:rPr>
          <w:b/>
        </w:rPr>
        <w:t>E. 30</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w:t>
      </w:r>
    </w:p>
    <w:p>
      <w:r>
        <w:rPr>
          <w:b/>
        </w:rPr>
        <w:t>E. 31</w:t>
      </w:r>
    </w:p>
    <w:p>
      <w:r>
        <w:t>En l’espèce, les plans, rapports et documents techniques nécessaires à l’instruction de la demande concernée ont été versés au dossier d’instruction. Il s’est en particulier agi, sur requête de la police du feu, soit l’instance spécialisée et compétente en la matière, d’une version modifiée du concept de protection incendie déposée dans le cadre de l’autorisation principale. L’ensemble des instances de préavis, en particulier la police du feu, s’est, au regard de ces documents, prononcé favorablement quant au projet querellé, exigeant le respect du concept de sécurité incendie et des plans l’accompagnant. Le préavis de la police du feu préconisait également que pour tout ce qui n’était pas précisément défini dans le concept de I______, les prescriptions incendies de l’AEAI dans leurs versions 2015-2017 devaient être appliquées. Deux contrôles ont été réalisés quant à la prise des mesures nécessaires à la sécurité des usagers, notamment de la cuisine. Mme L______ a enfin déposé la déclaration de conformité AEAI pour le Concept de sécurité incendie avec une seule remarque concernant la porte coupe- feu du local technique présent au palier intermédiaire de cette voie de fuite qui était provisoire dans l’attente de la livraison de la porte définitive. A______ SA fonde son argumentation sur le fait que d’autres exigences avaient été posées à l’époque dans l’APA 6______ et dans la DD 7______/1, concernant les voies d’évacuation. Or, d’une part, ces autorisations ne font pas l’objet du présent litige. D’autre part, le département a expliqué, sans être contredit, que les voies de fuite prévues dans les autorisations précitées n’avaient pas été exigées mais proposées par la police du feu, parmi d’autres solutions possibles. La</w:t>
      </w:r>
    </w:p>
    <w:p>
      <w:r>
        <w:t>- 31/35 - A/1316/2023 recourante ne démontre pour le surplus pas que la voie d’évacuation telle que prévue dans l’autorisation querellée ne respecterait les prescriptions AEAI et le Concept de protection incendie de I______ ni pour quels motifs le département aurait dû s’écarter du préavis de la police du feu. À cet égard, concernant les normes et directives AEAI, il doit être pris en compte que le bâtiment en question entre dans la catégorie d’un bâtiment administratif, industriel et artisanal (directive de protection incendie 16-15), car il concerne moins de 300 personnes. Il est ainsi admis que l’évacuation se fasse par un local voisin (zone polyvalente, par exemple), pour autant qu’il se trouve dans la même unité d’utilisation et permette de rejoindre une voie d’évacuation horizontale ou verticale (chiffre 3.3.4 dite directive). La voie d’évacuation apparait ainsi parfaitement adéquate dès lors que, en cas de sinistre, l’évacuation des employés de cuisine, au nombre de cinq environ même s’ils peuvent être parfois plus nombreux sur les lieux, pourra se faire par l’escalier de liaison situé dans la même unité de liaison afin d’atteindre la voie d’évacuation prévue au 1er étage menant directement vers l’extérieur. La voie d’évacuation prévue au 2ème étage est de plus conforme aux art. 35 al. 1 et 37 al. 1 norme AEAI. En outre, le chemin - à disposition des employés de la cuisine et respectant le concept global de sécurité du bâtiment rénové - empruntant l’escalier interne pour accéder au 1er étage et évacuer sur 1b______[GE], est bien le plus court, étant rappelé que les voies d’évacuation et de sauvetage peuvent aussi servir de voies de communication. De telles voies de liaison ne nécessitaient pas de compartimentage coupe-feu ou autre mesures particulières. Pour le surplus, le tribunal a pu vérifier que la longueur de 35 m des voies d’évacuation (chiffre 2.4.3 al. 1 directive AEAI) était respectée. Quant à la largeur de la porte située au 1er étage, de 87 cm selon les plans, elle présente une différence de 3 cm par rapport au 90 cm requis au chiffre 2.4.5 directive AEAI qui précise toutefois que des dérogations sont possibles en fonction de l’affectation, le nombre d’occupants étant notamment un aspect à prendre en compte dans ce cadre. Or ici, la voie d’évacuation est destinée uniquement à permettre le passage des utilisateurs de la cuisine (5 personnes environ), le 1er étage comportant une autre voie de fuite, pour les autres usagers dudit étage, dont l’ouverture mesure 120 cm de large. Le tribunal ne saurait dès lors s’écarter du préavis de la police du feu qui a estimé, après s’être assurée que le projet et son concept de sécurité incendie étaient adéquats et que les mesures prévues respectaient bien les normes de protection incendie, que ladite voie d’évacuation était appropriée et qu’il serait disproportionné d’en demander la modification. L’autorisation rappelle enfin que les normes AEAI doivent être respectées et exige que le projet soit suivi et géré par le responsable en protection incendie afin de veiller précisément au respect de ces dernières. Dans ces conditions, il doit être admis, avec le département, que le projet autorisé ne présentant aucun souci de sécurité pour les utilisateurs du bâtiment et, en</w:t>
      </w:r>
    </w:p>
    <w:p>
      <w:r>
        <w:t>- 32/35 - A/1316/2023 particulier, pour les employés de la recourante, aucune violation des art. 14 et 121 LCI ne saurait être retenue.</w:t>
      </w:r>
    </w:p>
    <w:p>
      <w:r>
        <w:rPr>
          <w:b/>
        </w:rPr>
        <w:t>E. 32</w:t>
      </w:r>
    </w:p>
    <w:p>
      <w:r>
        <w:t>La recourante estime que l’autorisation viole les art. 209 al. 2 Cst-GE, 109 al. 1 LCI, 2 al.1 et 8 al. 1 RACI.</w:t>
      </w:r>
    </w:p>
    <w:p>
      <w:r>
        <w:rPr>
          <w:b/>
        </w:rPr>
        <w:t>E. 33</w:t>
      </w:r>
    </w:p>
    <w:p>
      <w:r>
        <w:t>L’art. 209 Cst-GE stipule que l’État favorise l’intégration économique et sociale des personnes handicapées. Lors de constructions nouvelles, les logements et les places de travail sont rendus accessibles et adaptables aux besoins des personnes handicapées. Lors de rénovations, les besoins de celles-ci sont pris en considération de manière appropriée.</w:t>
      </w:r>
    </w:p>
    <w:p>
      <w:r>
        <w:rPr>
          <w:b/>
        </w:rPr>
        <w:t>E. 34</w:t>
      </w:r>
    </w:p>
    <w:p>
      <w:r>
        <w:t>Selon l’art. 109 al. 1 LCI, les constructions et installations, de même que leurs abords, doivent être conçus et aménagés de manière à en permettre l’accès et l’utilisation par tous les usagers, y compris ceux qui éprouvent des difficultés à s’orienter, à se mouvoir ou à communiquer.</w:t>
      </w:r>
    </w:p>
    <w:p>
      <w:r>
        <w:rPr>
          <w:b/>
        </w:rPr>
        <w:t>E. 35</w:t>
      </w:r>
    </w:p>
    <w:p>
      <w:r>
        <w:t>Un ascenseur est obligatoire à partir de trois niveaux, sous-sol compris. Une dérogation peut être accordée pour des immeubles de trois niveaux au maximum, sous-sol compris, qui n’offrent qu’un nombre restreint de places de travail ou ne comportent que quelques logements à condition de préserver la possibilité de les équiper ultérieurement d’un monte-escalier au moins (art. 8 al. 1 RACI).</w:t>
      </w:r>
    </w:p>
    <w:p>
      <w:r>
        <w:rPr>
          <w:b/>
        </w:rPr>
        <w:t>E. 36</w:t>
      </w:r>
    </w:p>
    <w:p>
      <w:r>
        <w:t>En l’espèce, la DD 7______/3 ne porte ni sur une construction nouvelle, ni sur une transformation ou rénovation importante. L’ascenseur est maintenu dans le projet litigieux et un accès est techniquement possible pour les personnes à mobilité réduite. Aucune remarque n’a d’ailleurs été faite par les instances de préavis consultées, dans le cadre de l’instruction du dossier, s’agissant de l’accessibilité des constructions. Le fait que les employés ou la clientèle de la recourante ne seraient plus en mesure d’utiliser l’ascenseur ne relève enfin, comme rappelé à juste titre par le département, pas du respect du droit de la construction, mais de ses relations de droit privé avec l’intimée. Ce grief sera par conséquent écarté.</w:t>
      </w:r>
    </w:p>
    <w:p>
      <w:r>
        <w:rPr>
          <w:b/>
        </w:rPr>
        <w:t>E. 37</w:t>
      </w:r>
    </w:p>
    <w:p>
      <w:r>
        <w:t>La recourante allègue la violation de l’ODAIOUs et des normes HACCP.</w:t>
      </w:r>
    </w:p>
    <w:p>
      <w:r>
        <w:rPr>
          <w:b/>
        </w:rPr>
        <w:t>E. 38</w:t>
      </w:r>
    </w:p>
    <w:p>
      <w:r>
        <w:t>Selon les principes généraux du droit, il n’appartient pas à l’administration de s’immiscer dans les conflits de droit privé pouvant s’élever entre un requérant et un opposant. La législation genevoise en matière de police des constructions a en effet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 ; cf. aussi arrêt du Tribunal fédéral 1C_413/2019</w:t>
      </w:r>
    </w:p>
    <w:p>
      <w:r>
        <w:t>- 33/35 - A/1316/2023 du 24 mars 2020 consid. 7.1 et les références citées). La procédure de recours prévue par l’art. 145 LCI ne permet donc en principe de faire valoir que des moyens de droit public et n’a pas pour vocation de veiller au respect de droits réels ou de ceux des tiers, le contrôle du respect de ceux-ci (de même que l’examen de tout autre litige relevant du droit privé) restant dévolu aux tribunaux civils (cf. not. arrêts du Tribunal fédéral 1C_413/2019 du 24 mars 2020 consid. 7.1 et les références citées ; 1C_416/2012 du 6 décembre 2012 consid. 5 in fine ; ATA/752/2014 du 23 septembre 2014 consid. 7c ; ATA/900/2010 du 21 décembre 2010 consid. 11).</w:t>
      </w:r>
    </w:p>
    <w:p>
      <w:r>
        <w:rPr>
          <w:b/>
        </w:rPr>
        <w:t>E. 39</w:t>
      </w:r>
    </w:p>
    <w:p>
      <w:r>
        <w:t>En l’espèce, l’ODAIOUs et les normes HACCP ne constituent pas des prescriptions du droit de la construction mais des exigences pour l’exploitant des lieux (art. 78 ODAIOUs). La question de leur respect ne saurait dès lors être examinée dans le cadre du présent recours, cette problématique relevant des relations de droit privé entre les parties. Il appartiendra dès lors à la recourante de se retourner contre la propriétaire sur le plan civil si elle estime que les conditions pour l’exercice de son activité de restauration ne sont plus adéquates. L’on rappellera encore, à toutes fins utiles, que l’accès à la cuisine depuis l’ascenseur central était déjà restreint à la suite de l’autorisation de construire initiale DD 7______/1, en force.</w:t>
      </w:r>
    </w:p>
    <w:p>
      <w:r>
        <w:rPr>
          <w:b/>
        </w:rPr>
        <w:t>E. 40</w:t>
      </w:r>
    </w:p>
    <w:p>
      <w:r>
        <w:t>La recourante soutient encore que la décision querellée viole les art. 9 LPMNS et 90 al. 1 LCI, les bâtiments visés par l’autorisation querellée figurant à l’inventaire et l’intérêt à les protéger devant prévaloir sur les installations et modifications envisagées.</w:t>
      </w:r>
    </w:p>
    <w:p>
      <w:r>
        <w:rPr>
          <w:b/>
        </w:rPr>
        <w:t>E. 41</w:t>
      </w:r>
    </w:p>
    <w:p>
      <w:r>
        <w:t>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w:t>
      </w:r>
    </w:p>
    <w:p>
      <w:r>
        <w:rPr>
          <w:b/>
        </w:rPr>
        <w:t>E. 42</w:t>
      </w:r>
    </w:p>
    <w:p>
      <w:r>
        <w:t>S’agissant des bâtiments, elle prévoit l’établissement d’un inventaire de tous les immeubles dignes d’être protégés au sens de l’art. 4 (art. 7 al. 1 LPMNS), ainsi que la possibilité pour le Conseil d’État d’ordonner le classement d’un monument ou d’une antiquité (art. 10 LPMNS). Les immeubles inscrits à l’inventaire doivent être maintenus et leurs éléments dignes d’intérêt préservés (art. 9 al. 1 LPMNS).</w:t>
      </w:r>
    </w:p>
    <w:p>
      <w:r>
        <w:rPr>
          <w:b/>
        </w:rPr>
        <w:t>E. 43</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t>- 34/35 - A/1316/2023</w:t>
      </w:r>
    </w:p>
    <w:p>
      <w:r>
        <w:rPr>
          <w:b/>
        </w:rPr>
        <w:t>E. 44</w:t>
      </w:r>
    </w:p>
    <w:p>
      <w:r>
        <w:t>En l’espèce, sous l’angle de l’art. 9 LPMNS, l’on relèvera tout d’abord que seul 1c______[GE] et non le bâtiment en tant que tel est inscrit à l’inventaire. Or, la recourante ne fait pas valoir d’atteinte aux éléments dignes d’intérêt dudit passage. Son grief, de portée générale, est dès lors irrecevable. Celle-ci n’expose pas plus en quoi les éléments modifiés représenteraient des éléments particulièrement dignes de protection au sens de l’art. 90 al. 1 LCI, étant rappelé que des rénovations/transformations sont possibles sur un immeuble inscrit dans un ensemble protégé, seuls les éléments particulièrement dignes de protection devant impérativement être maintenus. Or, à cet égard, l’autorisation querellée se fonde sur les préavis favorables sous conditions de la CMNS et du SMS, lesquels ont procédé à un examen minutieux du projet, après en avoir, préalablement, demandé la modification. La recourante ne fait pour sa part que substituer sa propre appréciation à celle des instances de préavis précitées. Le grief de la recourante sera dès lors rejeté si tant est qu’il est recevable.</w:t>
      </w:r>
    </w:p>
    <w:p>
      <w:r>
        <w:rPr>
          <w:b/>
        </w:rPr>
        <w:t>E. 45</w:t>
      </w:r>
    </w:p>
    <w:p>
      <w:r>
        <w:t>En tous points infondés, le recours doit être rejeté.</w:t>
      </w:r>
    </w:p>
    <w:p>
      <w:r>
        <w:rPr>
          <w:b/>
        </w:rPr>
        <w:t>E. 46</w:t>
      </w:r>
    </w:p>
    <w:p>
      <w:r>
        <w:t>En application des art. 87 al. 1 LPA et 1 et 2 du règlement sur les frais, émoluments et indemnités en procédure administrative du 30 juillet 1986 (RFPA - E 5 10.03), la recourante, qui succombe sur mesures superprovisionnelles, provisionnelles et sur le fond, est condamnée au paiement d’un émolument s’élevant à CHF 3’000.- ; il est partiellement couvert par l’avance de frais de CHF 900.- versée à la suite du dépôt du recours.</w:t>
      </w:r>
    </w:p>
    <w:p>
      <w:r>
        <w:rPr>
          <w:b/>
        </w:rPr>
        <w:t>E. 47</w:t>
      </w:r>
    </w:p>
    <w:p>
      <w:r>
        <w:t>Vu l’issue du litige, une indemnité de procédure de CHF 3’000.-, à la charge de la recourante, sera allouée à l’intimée (art. 87 al. 2 à 4 LPA et 6 RFPA)</w:t>
      </w:r>
    </w:p>
    <w:p>
      <w:r>
        <w:t>- 35/35 - A/1316/2023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