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JTAPI/252/2024 vom 21. März 2024</w:t>
      </w:r>
    </w:p>
    <w:p>
      <w:r>
        <w:t>GE Cour de justice, 2024-03-21, FR</w:t>
      </w:r>
    </w:p>
    <w:p>
      <w:r>
        <w:rPr>
          <w:b/>
        </w:rPr>
        <w:t xml:space="preserve">Quelle: </w:t>
      </w:r>
      <w:r>
        <w:t>https://mcp.opencaselaw.ch/entscheid/ge_gerichte_JTAPI_252_2024</w:t>
      </w:r>
    </w:p>
    <w:p>
      <w:r>
        <w:t>FR: GE_GERICHTE JTAPI/252/2024 du 21 mars 2024</w:t>
      </w:r>
    </w:p>
    <w:p>
      <w:r>
        <w:t>IT: GE_GERICHTE JTAPI/252/2024 del 21 marzo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À teneur de l'art. 70 al. 1 LPA, l’autorité peut, d’office ou sur requête, joindre en une même procédure des affaires qui se rapportent à une situation identique ou à une cause juridique commune.</w:t>
      </w:r>
    </w:p>
    <w:p>
      <w:r>
        <w:rPr>
          <w:b/>
        </w:rPr>
        <w:t>E. 2.2</w:t>
      </w:r>
    </w:p>
    <w:p>
      <w:r>
        <w:t>; arrêt du Tribunal fédéral 1C_164/2019 du 20 janvier 2021 consid. 1). Les intérêts d’un voisin peuvent être lésés de façon directe et spéciale aussi en</w:t>
      </w:r>
    </w:p>
    <w:p>
      <w:r>
        <w:t>- 15/31 - A/1764/2023 l’absence de voisinage direct, lorsqu’une distance relativement faible sépare l’immeuble des recourants de l’installation litigieuse (ATF 121 II 171 consid. 2b). La qualité pour recourir a ainsi été admise pour des distances variant entre 25 et 150 m (ATA/1218/2015 du 10 novembre 2015 consid. 2c et les références citées).</w:t>
      </w:r>
    </w:p>
    <w:p>
      <w:r>
        <w:rPr>
          <w:b/>
        </w:rPr>
        <w:t>E. 3</w:t>
      </w:r>
    </w:p>
    <w:p>
      <w:r>
        <w:t>En l'espèce, les procédures A/1764/2023 et A/1767/2023 portent sur la même autorisation de construire. Par conséquent, il se justifie de prononcer leur jonction, sous le n° de procédure A/1764/2023.</w:t>
      </w:r>
    </w:p>
    <w:p>
      <w:r>
        <w:rPr>
          <w:b/>
        </w:rPr>
        <w:t>E. 4</w:t>
      </w:r>
    </w:p>
    <w:p>
      <w:r>
        <w:t>Interjeté en temps utile et dans les formes prescrites devant la juridiction compétente, le recours est recevable au sens des art. 62 à 65 LPA.</w:t>
      </w:r>
    </w:p>
    <w:p>
      <w:r>
        <w:rPr>
          <w:b/>
        </w:rPr>
        <w:t>E. 5</w:t>
      </w:r>
    </w:p>
    <w:p>
      <w:r>
        <w:t>La recevabilité d’un recours suppose encore que son auteur dispose de la qualité pour recourir.</w:t>
      </w:r>
    </w:p>
    <w:p>
      <w:r>
        <w:rPr>
          <w:b/>
        </w:rPr>
        <w:t>E. 6</w:t>
      </w:r>
    </w:p>
    <w:p>
      <w:r>
        <w:t>La qualité pour recourir est notamment reconnue à toute personne atteinte par la décision attaquée et qui dispose d’un intérêt digne de protection à son annulation ou à sa modification (art. 60 al. 1 let. b LPA).</w:t>
      </w:r>
    </w:p>
    <w:p>
      <w:r>
        <w:t>Le recourant doit se trouver dans une relation spéciale, étroite et digne d’être prise en considération avec l’objet de la contestation et retirer un avantage pratique de l’annulation ou de la modification de la décision en cause, qui permette d’admettre qu’il est touché dans un intérêt personnel se distinguant nettement de l’intérêt général, de manière à exclure l’action populaire. Cet intérêt digne de protection ne doit pas nécessairement être de nature juridique, un intérêt de fait étant suffisant (ATF 144 I 43 consid. 2.1 ; 143 II 506 consid. 5.1 ; 137 II 30 consid. 2.2.3 et 2.3 ; arrêt du Tribunal fédéral 1C_206/2019 du 6 août 2019 consid. 3.1).</w:t>
      </w:r>
    </w:p>
    <w:p>
      <w:r>
        <w:rPr>
          <w:b/>
        </w:rPr>
        <w:t>E. 7</w:t>
      </w:r>
    </w:p>
    <w:p>
      <w:r>
        <w:t>En matière de droit des constructions, le voisin direct de la construction ou de l’installation litigieuse a en principe la qualité pour recourir (ATF 139 II 499 consid.</w:t>
      </w:r>
    </w:p>
    <w:p>
      <w:r>
        <w:rPr>
          <w:b/>
        </w:rPr>
        <w:t>E. 8</w:t>
      </w:r>
    </w:p>
    <w:p>
      <w:r>
        <w:t>La proximité avec l’objet du litige ne suffit cependant pas à elle seule à conférer au voisin la qualité pour recourir contre la délivrance d’une autorisation de construire. Les tiers doivent en outre retirer un avantage pratique de l’annulation ou de la modification de la décision contestée, qui permette d’admettre qu’ils sont touchés dans un intérêt personnel se distinguant nettement de l’intérêt général des autres habitants de la collectivité concernée (ATF 139 II 499 consid. 2.2 ; arrêt du Tribunal fédéral 2C_727/2016 du 17 juillet 2017 consid. 4.2.3 ; ATA/17/2023 du 10 janvier 2023 consid. 11b). Le recourant doit rendre vraisemblables les nuisances qu’il allègue et sur la réalisation desquelles il fonde une relation spéciale et étroite avec l’objet de la contestation (ATF 125 I 173 consid. 1b ; arrêts du Tribunal fédéral 1C_469/2014 du 24 avril 2015 consid. 2.2 ; 1C_453/ 2014 du 23 février 2015 consid. 4.2 et 4.3).</w:t>
      </w:r>
    </w:p>
    <w:p>
      <w:r>
        <w:rPr>
          <w:b/>
        </w:rPr>
        <w:t>E. 9</w:t>
      </w:r>
    </w:p>
    <w:p>
      <w:r>
        <w:t>En l'occurrence, les recourants sont propriétaires de parcelles directement voisines de celle sur laquelle le projet litigieux est prévu. Ils disposent ainsi a priori de la qualité pour recourir.</w:t>
      </w:r>
    </w:p>
    <w:p>
      <w:r>
        <w:rPr>
          <w:b/>
        </w:rPr>
        <w:t>E. 10</w:t>
      </w:r>
    </w:p>
    <w:p>
      <w:r>
        <w:t>L’admission de la qualité pour recourir ne signifie pas encore que toutes les conclusions, respectivement griefs, formulés par un recourant sont recevables.</w:t>
      </w:r>
    </w:p>
    <w:p>
      <w:r>
        <w:t>En effet, un recourant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(ATA/85/2022 du 1er février 2022 consid. 5b). Ils doivent en outre se trouver dans le champ de protection des dispositions dont ils allèguent la violation et être touchés par les effets prétendument illicites de la construction ou de l’installation litigieuse (ATF 121 I 267 consid. 2 et les références citées ; arrêts du Tribunal fédéral 1P.282/2005 du 7 juillet 2005 consid. 1 ; 1P.292/2004 du 29 juillet 2004 consid. 1.3 ; ATA/801/2014 du 14 octobre 2014 consid. 6d).</w:t>
      </w:r>
    </w:p>
    <w:p>
      <w:r>
        <w:rPr>
          <w:b/>
        </w:rPr>
        <w:t>E. 11</w:t>
      </w:r>
    </w:p>
    <w:p>
      <w:r>
        <w:t>La question de la recevabilité de certains des griefs soulevés par les recourants sera examinée ci-après.</w:t>
      </w:r>
    </w:p>
    <w:p>
      <w:r>
        <w:rPr>
          <w:b/>
        </w:rPr>
        <w:t>E. 12</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w:t>
      </w:r>
    </w:p>
    <w:p>
      <w:r>
        <w:t>- 16/31 - A/1764/2023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13</w:t>
      </w:r>
    </w:p>
    <w:p>
      <w:r>
        <w:t>Les recourants sollicitent préalablement plusieurs mesures d'instruction, soit la tenue d'un transport sur place, la pose de gabarits, l'audition des parties, celle d'un architecte, ainsi que la réalisation d'une expertise par géomètre indépendant.</w:t>
      </w:r>
    </w:p>
    <w:p>
      <w:r>
        <w:rPr>
          <w:b/>
        </w:rPr>
        <w:t>E. 14</w:t>
      </w:r>
    </w:p>
    <w:p>
      <w:r>
        <w:t>Le droit d’être entendu garanti par l’art. 29 al. 2 de la Constitution fédérale de la Confédération suisse du 18 avril 1999 (Cst. - RS 101) comprend, classiquement,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149 I 91 consid. 3.2 ; 145 I 167 consid. 4.1 ; 142 II 218 consid. 2.3). 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140 I 285 consid. 6.3.1 ; arrêt du Tribunal fédéral 1C_159/2020 du 5 octobre 2020 consid. 2.2.1). Par ailleurs, ce droit ne confère pas le droit à la tenue d’une inspection locale, en l’absence d’une disposition cantonale imposant une telle mesure d’instruction, ce qui n’est pas le cas à Genève (ATF 120 Ib 224 consid. 2b ; arrêt du Tribunal fédéral 1C_243/2013 du 27 septembre 2013 consid. 3.2.1 ; ATA/285/2021 du 2 mars 2021 consid. 2b).</w:t>
      </w:r>
    </w:p>
    <w:p>
      <w:r>
        <w:rPr>
          <w:b/>
        </w:rPr>
        <w:t>E. 15</w:t>
      </w:r>
    </w:p>
    <w:p>
      <w:r>
        <w:t>En l'espèce, le tribunal estime que le dossier contient les éléments suffisants et nécessaires à l'établissement des faits pertinents pour traiter les griefs soulevés par les recourants et statuer sur le litige. En particulier, les pièces versées au dossier, dont notamment les plans, les fiches techniques, les photographies, ainsi que le site du SITG sont suffisants pour appréhender correctement l'environnement et les caractéristiques des lieux, sans qu'il soit nécessaire de s'y rendre ou de poser des gabarits. Pour les mêmes raisons, la réalisation d'une expertise par un géomètre indépendant n'est pas nécessaire, le recourant sollicitant cette mesure ayant au</w:t>
      </w:r>
    </w:p>
    <w:p>
      <w:r>
        <w:t>- 17/31 - A/1764/2023 surplus déjà transmis des plans réalisés par un géomètre qu'il a consulté. Quant à l'audition des parties, les recourants n'expliquent pas quels éléments de la procédure écrite les auraient empêchés de s'exprimer de manière pertinente et complète. De la même manière, ils n'expliquent pas en quoi les auditions de l'autorité intimée et des intimés seraient pertinentes dans la mesure où la première a produit son dossier ainsi que transmis ses observations et les seconds ont fait usage du double échange d'écritures. Il en va enfin de même pour l'audition de l'architecte, les recourants ayant au demeurant déjà fait état de son point de vue dans leur réplique. Partant, ces mesures d'instruction, en soi non obligatoires, seront rejetées, dès lors qu’elles n'apporteraient pas un éclairage différent sur le dossier.</w:t>
      </w:r>
    </w:p>
    <w:p>
      <w:r>
        <w:rPr>
          <w:b/>
        </w:rPr>
        <w:t>E. 16</w:t>
      </w:r>
    </w:p>
    <w:p>
      <w:r>
        <w:t>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Néanmoins, lorsque la consultation d’une instance de préavis est imposée par la loi, son préavis a un poids certain dans l’appréciation qu’est amenée à effectuer l’autorité de recours et il convient de ne pas le minimiser (ATA/448/2021 du 27 avril 2021 consid. 6a et les références citées).</w:t>
      </w:r>
    </w:p>
    <w:p>
      <w:r>
        <w:rPr>
          <w:b/>
        </w:rPr>
        <w:t>E. 17</w:t>
      </w:r>
    </w:p>
    <w:p>
      <w:r>
        <w:t>Selon une jurisprudence bien établie, le tribunal de céans observe une certaine retenue pour éviter de substituer sa propre appréciation à celle des commissions de préavis pour autant que l’autorité inférieure suive l’avis de celles-ci.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(ATA/332/2022 du 29 mars 2022 consid. 4b ; ATA/1098/2019 du 25 juin 2019 consid. 2e).</w:t>
      </w:r>
    </w:p>
    <w:p>
      <w:r>
        <w:rPr>
          <w:b/>
        </w:rPr>
        <w:t>E. 18</w:t>
      </w:r>
    </w:p>
    <w:p>
      <w:r>
        <w:t>Dans un premier grief, les époux B______ estiment que l'équipement du terrain du projet litigieux ne serait pas garanti, au sens des art. 19 al. 1 et 22 al. 2 let. b LAT, dans la mesure où le branchement des canalisations des eaux usées doit être réalisé sur leur collecteur sans qu'ils aient préalablement donné leur accord.</w:t>
      </w:r>
    </w:p>
    <w:p>
      <w:r>
        <w:rPr>
          <w:b/>
        </w:rPr>
        <w:t>E. 19</w:t>
      </w:r>
    </w:p>
    <w:p>
      <w:r>
        <w:t>Selon l’art. 22 LAT, une autorisation de construire est délivrée notamment si le terrain est équipé (al. 2 let. b). Le droit fédéral et le droit cantonal peuvent poser d’autres conditions (al. 3).</w:t>
      </w:r>
    </w:p>
    <w:p>
      <w:r>
        <w:rPr>
          <w:b/>
        </w:rPr>
        <w:t>E. 20</w:t>
      </w:r>
    </w:p>
    <w:p>
      <w:r>
        <w:t>L'art. 19 al. 1 LAT précise qu'un terrain est réputé équipé lorsqu'il est desservi d'une manière adaptée à l'utilisation prévue par des voies d'accès et par des conduites auxquelles il est possible de se raccorder sans frais disproportionnés pour l'alimentation en eau et en énergie, ainsi que pour l'évacuation des eaux usées.</w:t>
      </w:r>
    </w:p>
    <w:p>
      <w:r>
        <w:rPr>
          <w:b/>
        </w:rPr>
        <w:t>E. 21</w:t>
      </w:r>
    </w:p>
    <w:p>
      <w:r>
        <w:t>Selon la jurisprudence, l'exigence de garantie juridique ne s'étend pas en matière de conduites de canalisation. D'une part, car elle ne ressort pas du texte de l'art. 19 al. 1 LAT et d'autre part, le raccordement n'est pas exigé de façon absolue. Le principe</w:t>
      </w:r>
    </w:p>
    <w:p>
      <w:r>
        <w:t>- 18/31 - A/1764/2023 de la proportionnalité permet une certaine flexibilité, notamment lorsqu'un équipement en énergie ou en eau n'est pas obligatoirement nécessaire pour des raisons de police ou environnementales. Si l'analyse globale répond aux exigences de l'art. 19 al. 1 LAT, l'absence d'inscription d'une servitude de canalisation au registre foncier ne permet pas de considérer que le terrain ne serait pas équipé au sens de cette disposition (arrêt du Tribunal fédéral 1C_471/2020 du 19 mai 2021 consid. 3.2 et les références citées).</w:t>
      </w:r>
    </w:p>
    <w:p>
      <w:r>
        <w:rPr>
          <w:b/>
        </w:rPr>
        <w:t>E. 22</w:t>
      </w:r>
    </w:p>
    <w:p>
      <w:r>
        <w:t>Il suffit que le terrain soit équipé au moment de la réalisation de la construction projetée (« spätestens im Zeitpunkt der Realisierung »), étant précisé que les autorités communales et cantonales disposent en ce domaine d'un important pouvoir d'appréciation. Il faut simplement que ces dernières s'assurent que la réalisation de l'équipement soit garantie en fait et en droit de sorte qu'il n'existe aucun risque que des constructions soient érigées nonobstant un sous-équipement durable. Il leur est notamment possible d'octroyer une autorisation de construire assortie de la condition suspensive selon laquelle cette autorisation n'entrera en force que lorsque le principe et la forme de l'équipement seront assurés sur le plan juridique (Éloi JEANNERAT, Commentaires pratiques LAT : planifier l'affectation, 2016, ad. art. 19 n. 36 p. 555).</w:t>
      </w:r>
    </w:p>
    <w:p>
      <w:r>
        <w:rPr>
          <w:b/>
        </w:rPr>
        <w:t>E. 23</w:t>
      </w:r>
    </w:p>
    <w:p>
      <w:r>
        <w:t>Tout comme le Tribunal fédéral, la doctrine ne prévoit pas de garantie sur le plan juridique à propos des conduites d'amenée en eaux et d'évacuation des eaux usées, contrairement à la problématique de la voie d'accès suffisant. Il convient uniquement de procéder à une analyse globale de la situation (Éloi JEANNERAT, op. cit., ad. art. 19 LAT n. 36 et ss ; ATA/439/2021 du 20 avril 2021).</w:t>
      </w:r>
    </w:p>
    <w:p>
      <w:r>
        <w:rPr>
          <w:b/>
        </w:rPr>
        <w:t>E. 24</w:t>
      </w:r>
    </w:p>
    <w:p>
      <w:r>
        <w:t>Selon les principes généraux du droit, il n'appartient pas à l'administration de s'immiscer dans les conflits de droit privé pouvant s'élever entre un requérant et un opposant. La législation genevoise en matière de police des constructions a pour seul but d'assurer la conformité des projets présentés aux prescriptions en matière de constructions et d'aménagements, intérieurs et extérieurs, des bâtiments et des installations. En revanche, elle n'a pas pour objet de veiller au respect des droits réels, notamment des servitudes (art. 3 al. 6 LCI ; cf. not. ATA/169/2020 du 11 février 2020 consid. 7b ; ATA/1724/2019 du 26 novembre 2019 consid. 8 ; ATA/97/2019 du 29 janvier 2019 consid. 5 ; ATA/517/2018 du 29 mai 2018 consid. 5g ; ATA/166/2018 du 20 février 2018 consid. 5 et les arrêts cités ; cf. aussi arrêt du Tribunal fédéral 1C_416/2012 du 6 décembre 2012 consid. 5 in fine).</w:t>
      </w:r>
    </w:p>
    <w:p>
      <w:r>
        <w:rPr>
          <w:b/>
        </w:rPr>
        <w:t>E. 25</w:t>
      </w:r>
    </w:p>
    <w:p>
      <w:r>
        <w:t>En l'espèce, la question des canalisations a été examinée par l'OCEau qui, dans son préavis favorable du 30 mars 2023, a exigé que le raccordement se fasse au système public d'assainissement des eaux du chemin G______ et a invité les requérants à utiliser, dans la mesure du possible, les équipements privés existants, tout en réservant les droits des tiers. L'équipement du terrain apparaît ainsi garanti. S'agissant du raccordement des eaux usées, il ressort des plans qu'aucune intervention n'est prévue sur la parcelle des époux B______, mais uniquement sur les parcelles de dépendance n° 4______ et n° 5______ dont les époux D______</w:t>
      </w:r>
    </w:p>
    <w:p>
      <w:r>
        <w:t>- 19/31 - A/1764/2023 sont copropriétaires. Le tribunal constatera en outre que le projet querellé consiste à remplacer une villa individuelle par une autre construction du même genre qui sera raccordée au même réseau de canalisations, de sorte que la situation après la réalisation du projet sera identique à celle prévalant actuellement. Quoi qu'il en soit, il s'agit d'une question de droit privé, dont les recourants ne sauraient tirer aucun argument valable dans le cadre du présent litige. Partant, le grief est écarté.</w:t>
      </w:r>
    </w:p>
    <w:p>
      <w:r>
        <w:rPr>
          <w:b/>
        </w:rPr>
        <w:t>E. 26</w:t>
      </w:r>
    </w:p>
    <w:p>
      <w:r>
        <w:t>Dans un deuxième grief, les recourants soutiennent que le projet querellé ne respecterait pas les gabarits légaux, en violation des art. 60 ss LCI. En lien avec ce grief, les époux B______ reprochent au projet de ne pas respecter les normes THPE, car l'escalier d'accès en toiture ne figurerait pas sur les plans et n’aurait pas été pris en compte dans le calcul thermique.</w:t>
      </w:r>
    </w:p>
    <w:p>
      <w:r>
        <w:rPr>
          <w:b/>
        </w:rPr>
        <w:t>E. 27</w:t>
      </w:r>
    </w:p>
    <w:p>
      <w:r>
        <w:t>À teneur de l'art. 60 LCI, les constructions ne doivent en aucun cas dépasser un gabarit limité par un alignement et une ligne verticale de façade dont la hauteur est définie à l’art. 61 (al. 1). Le même gabarit doit être appliqué à toutes les faces d’une construction, à l’exception des murs en attente (al. 2). L'art. 61 al. 2 LCI indique qu'à front ou en retrait des voies publiques ou privées, la hauteur du gabarit ne peut dépasser la moitié de la distance fixée entre alignements augmentée de 1 m (H ½ D + 1). La hauteur du gabarit est calculée, par rapport aux limites de propriétés privées, conformément aux dispositions de l’art. 69 (H D + 1) (al 3). La hauteur de la ligne verticale du gabarit ne peut dépasser nulle part 10 m au niveau supérieur de la dalle de couverture ; restent toutefois réservées les dispositions des plans localisés de quartier et celles des art. 10 et 11 en ce qui concerne les constructions agricoles et les édifices d’utilité publique, notamment les églises, les salles de réunions et les cliniques (al. 4).</w:t>
      </w:r>
    </w:p>
    <w:p>
      <w:r>
        <w:rPr>
          <w:b/>
        </w:rPr>
        <w:t>E. 28</w:t>
      </w:r>
    </w:p>
    <w:p>
      <w:r>
        <w:t>Pour le calcul du gabarit, le point de référence au sol est mesuré conformément aux dispositions du plan d'aménagement ou des prescriptions du département ou, à défaut, à partir du niveau moyen du terrain naturel adjacent (art. 63 al. 1 LCI et art. 20 RCI).</w:t>
      </w:r>
    </w:p>
    <w:p>
      <w:r>
        <w:rPr>
          <w:b/>
        </w:rPr>
        <w:t>E. 29</w:t>
      </w:r>
    </w:p>
    <w:p>
      <w:r>
        <w:t>En l'espèce, il ressort clairement des plans que le gabarit a été calculé au niveau supérieur de la dalle de couverture et que ce dernier ne dépasse à aucun moment la limite de 10 m. C’est ainsi de manière parfaitement fondée que la DAC, qui doit précisément analyser cet aspect, a rendu un préavis favorable sans observation le 11 avril 2023. S'agissant du respect des normes THPE, le tribunal ne peut que constater que l'escalier d'accès en toiture apparaît bien sur les plans. Les époux B______ ne démontrent pour leur part pas dans quelle mesure ces normes ne seraient pas respectées, se contentant d’émettre des suppositions. En tout état, le préavis favorable de l'OCEN du 10 novembre 2022 fixe plusieurs conditions dont celle du respect des normes THPE, condition reprise dans l’autorisation querellée. Aucun élément ne permet dès lors de retenir que le projet ne respectera pas ce</w:t>
      </w:r>
    </w:p>
    <w:p>
      <w:r>
        <w:t>- 20/31 - A/1764/2023 standard ou que l’OCEN ne s’assurera pas du respect des prescriptions et standards énergétiques applicables. Le grief est dès lors écarté.</w:t>
      </w:r>
    </w:p>
    <w:p>
      <w:r>
        <w:rPr>
          <w:b/>
        </w:rPr>
        <w:t>E. 30</w:t>
      </w:r>
    </w:p>
    <w:p>
      <w:r>
        <w:t>Dans un troisième grief, les recourants invoquent plusieurs inconvénients graves au sens de l'art. 14 LCI qu'engendreraient le projet et le chantier. À ce propos, les époux B______ soutiennent qu'il y aurait des risques de remontée de gaz lors des forages géothermiques et de refoulement des canalisations sur leur parcelle ainsi qu'une perte d'intimité due à la vue plongeante sur leur propriété. Quant à M. C______, il explique que le gabarit de la construction querellée lui fera perdre la vue dont il dispose sur le lac.</w:t>
      </w:r>
    </w:p>
    <w:p>
      <w:r>
        <w:rPr>
          <w:b/>
        </w:rPr>
        <w:t>E. 31</w:t>
      </w:r>
    </w:p>
    <w:p>
      <w:r>
        <w:t>À teneur de l’art. 14 let. a LCI, le département peut refuser une autorisation lorsqu’une construction ou une installation peut être la cause d’inconvénients graves pour les usagers, le voisinage ou le public.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du tribunal s’exerce dans les limites précitées, sous réserve du respect du principe de proportionnalité en cas de refus malgré un préavis favorable et de l’intérêt public en cas d’octroi d’une autorisation (cf. not. ATA/811/2021 du 10 août 2021 consid. 6 ; ATA/448/2021 du 27 avril 2021 consid. 8a ; ATA/165/2018 du 20 février 2018 consid. 4b). Selon la jurisprudence, cette disposition n'a pas pour but d’empêcher toute construction dans une zone à bâtir qui aurait des effets sur la situation ou le bien-être des voisins.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(ATA/828/2015 du 11 août 2015 consid. 12a et références citées). Par ailleurs, l’art. 14 LCI vise les nuisances issues ou induites par la construction ou l’installation projetée elle-même et non celles provoquées par les modalités de sa réalisation. Ainsi, le Tribunal fédéral a jugé qu’il n’était pas arbitraire de considérer que les inconvénients causés par un chantier de construction ne constituaient pas des inconvénients graves au sens de cette disposition, même si, suivant les circonstances, ils pouvaient être plus ou moins sensibles pour les voisins (arrêt 1P.530/2002 du 3 février 2002 confirmant l’ATA/447/2002 du 27 août 2002 ; cf. aussi ATA/1220/2020 du 1er décembre 2020 consid. 7a et les références citées ; ATA/399/2020 du 23 avril 2020 consid. 7d). S’agissant de la perte de vue, la jurisprudence admet que ce droit n’est en tant que tel pas protégé en droit public, si ce n’est de façon indirecte par le biais des règles de police des constructions (distances aux limites et entre bâtiments, hauteurs maximum, notamment ; arrêt du Tribunal fédéral 1C_279/2017 du 27 mars 2018</w:t>
      </w:r>
    </w:p>
    <w:p>
      <w:r>
        <w:t>- 21/31 - A/1764/2023 consid. 4.5.2). En conséquence, la perte de vue qui résulte de constructions ne saurait constituer en soi un inconvénient grave au sens de l’art. 14 LCI (ATA/1261/2022 du 13 décembre 2022 consid. 7d).</w:t>
      </w:r>
    </w:p>
    <w:p>
      <w:r>
        <w:rPr>
          <w:b/>
        </w:rPr>
        <w:t>E. 32</w:t>
      </w:r>
    </w:p>
    <w:p>
      <w:r>
        <w:t>En l'espèce, à la lumière de la jurisprudence susmentionnée, les nuisances liées au chantier ne constituent nullement un inconvénient grave au sens de l'art. 14 LCI. La question des remontées lors de la réalisation des forages a au demeurant été analysée par le GESDEC, instance spécialisée dans le domaine concerné, qui a rendu un préavis favorable le 24 novembre 2022 avec des conditions spécifiques à respecter. Il en va de même du risque de refoulement des canalisations, lequel a été examiné par l'OCEau, qui a également fixé des conditions à respecter en conséquence. Il doit ainsi être admis que ces deux instances ont rendu leurs préavis favorables en parfaite connaissance de la situation. Quant aux recourants, ils ne font que tenter de substituer leur appréciation à celle des instances spécialisées, émettant à nouveau de pures suppositions. S'agissant enfin des pertes de vue et d'intimité alléguées, elles ne constituent pas, conformément à la jurisprudence précitée, des inconvénients graves au sens de l'art. 14 LCI, étant rappelé que la construction projetée, et en particulier son gabarit, sont conformes à la zone. Ce grief doit aussi être rejeté.</w:t>
      </w:r>
    </w:p>
    <w:p>
      <w:r>
        <w:rPr>
          <w:b/>
        </w:rPr>
        <w:t>E. 33</w:t>
      </w:r>
    </w:p>
    <w:p>
      <w:r>
        <w:t>Dans un quatrième grief, les époux B______ allèguent que le projet se heurterait à l'art. 15 LCI en rompant l'harmonie du quartier. Dans le même grief, ils se plaignent de l'abattage de trois arbres prévu par le projet ainsi que des réductions inadmissibles de la surface en pleine terre et de la surface perméable de la parcelle.</w:t>
      </w:r>
    </w:p>
    <w:p>
      <w:r>
        <w:rPr>
          <w:b/>
        </w:rPr>
        <w:t>E. 34</w:t>
      </w:r>
    </w:p>
    <w:p>
      <w:r>
        <w:t>Selon l'art. 15 al. 1 LCI,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Sa décision se fonde notamment sur le préavis de la commission d'architecture ou, pour les objets qui sont de son ressort, sur celui de la commission des monuments, de la nature et des sites. Elle tient compte également, le cas échéant, de ceux émis par la commune ou ses services compétents (art. 15 al. 2 LCI).</w:t>
      </w:r>
    </w:p>
    <w:p>
      <w:r>
        <w:rPr>
          <w:b/>
        </w:rPr>
        <w:t>E. 35</w:t>
      </w:r>
    </w:p>
    <w:p>
      <w:r>
        <w:t>La clause d'esthétique de l'art. 15 LCI fait appel à des notions juridiques imprécises ou indéterminées, dont le contenu varie selon les conceptions subjectives de celui qui les interprète et selon les circonstances de chaque cas d'espèce.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w:t>
      </w:r>
    </w:p>
    <w:p>
      <w:r>
        <w:t>- 22/31 - A/1764/2023 (ATA/896/2021 du 31 août 2021 consid. 4b ; ATA/155/2021 du 9 février 2021 consid. 6b). Cette disposition reconnaît ainsi au département un large pouvoir d'appréciation. Ce dernier n'est limité que par l'excès ou l'abus du pouvoir d'appréciation (ATA/1065/2018 du 9 octobre 2018 consid. 3e et la référence citée). Constitue un abus du pouvoir d'appréciation le cas où l'autorité reste dans le cadre fixé par la loi, mais se fonde toutefois sur des considérations qui manquent de pertinence et sont étrangères au but visé par les dispositions légales applicables, ou viole des principes généraux du droit tels que l'interdiction de l'arbitraire et l'égalité de traitement, le principe de la bonne foi et le principe de la proportionnalité (ATF 137 V 71 ; TANQUEREL, opt. cit. p. 179).</w:t>
      </w:r>
    </w:p>
    <w:p>
      <w:r>
        <w:rPr>
          <w:b/>
        </w:rPr>
        <w:t>E. 36</w:t>
      </w:r>
    </w:p>
    <w:p>
      <w:r>
        <w:t>L'art. 59 al. 3bis LCI dispose qu'une surface en pleine terre, à savoir dénuée de toute construction en surface ou en sous-sol et non revêtue, de la parcelle ou du groupe de parcelles considérées par la demande d’autorisation de construire doit être préservée. Selon la directive LCI 021-v7 sur le rapport des surfaces en zone 5 émise par le département le 1er mars 2013 et modifiée le 15 août 2022 (ci-après : directive 021- v7 ; https://www.ge.ch/document/4365/telecharger), il est précisé, s'agissant de l’al. 3bis de cette disposition, qu’il « indique qu'une surface pleine terre doit être préservée. Il définit précisément la notion de pleine terre. Par contre, il ne définit rien sur les aspects qualitatif ou quantitatif de cette dernière. A cette effet, le département a établi une marche à suivre intitulée "Densification de la zone 5" (www.ge.ch/document/marche-suivre-densification-zone-5). Selon l'expérience de la CA, il peut être considéré, en règle générale, qu'une surface pleine terre inférieure à 40% n'est ni qualitative, ni suffisamment quantitative. À l'inverse une surface supérieure à 60% peut être considérée comme suffisamment quantitative et qualitative ». Cette directive n’a pas force de loi et ne lie ni les administrés, ni les tribunaux, ni même l’administration. Elle ne dispense pas cette dernière de se prononcer à la lumière des circonstances concrètes du cas d’espèce. Par ailleurs, elle ne peut sortir du cadre fixé par la norme supérieure qu’elle est censée concrétiser. En d’autres termes, à défaut de lacune, elle ne peut prévoir autre chose que ce qui découle de la législation ou de la jurisprudence (ATF 141 II 338 consid. 6.1 ; arrêt du Tribunal fédéral 2C_522/ 2012 du 28 décembre 2012 consid. 2.3). Le juge peut toutefois en tenir compte lorsqu’elle permet une application correcte des normes légales dans un cas concret (cf. ATA/25/2022 du 11 janvier 2022 consid. 3g).</w:t>
      </w:r>
    </w:p>
    <w:p>
      <w:r>
        <w:rPr>
          <w:b/>
        </w:rPr>
        <w:t>E. 37</w:t>
      </w:r>
    </w:p>
    <w:p>
      <w:r>
        <w:t>En l'espèce, l'ensemble des préavis émis, dont notamment ceux de la CA et de la commune, sont favorables au projet querellé. Aucun ne fait état d'une quelconque atteinte à l'harmonie du quartier. Le fait que ces différentes instances ne se soit pas rendues sur les lieux n'est pas relevant dans la mesure où elles sont spécialisées dans l'aménagement du territoire genevois et disposent d'outils informatiques, comme le site du SITG, pour se déterminer en toute connaissance de cause. Au demeurant,</w:t>
      </w:r>
    </w:p>
    <w:p>
      <w:r>
        <w:t>- 23/31 - A/1764/2023 les recourants n'apportent pas d'éléments convaincants qui permettraient de douter de l'objectivité de l'appréciation de la CA, ou qui laisseraient entendre que celle-ci se serait basée sur des éléments erronés ou étrangers au but de la loi. En délivrant l’autorisation querellée sur la base desdits préavis, le département n'a ainsi commis aucun abus ou excès de son pouvoir d'appréciation, étant rappelé que le tribunal, qui doit faire preuve de retenue et respecter la latitude de jugement conférée à l’autorité de décision, en particulier dans les domaines faisant appel à des connaissances techniques, ne saurait en corriger le résultat en fonction d'une autre conception, sauf à statuer en opportunité, ce que la loi lui interdit de faire (art. 61 al. 2 LPA). Les recourants ne font pour leur part que substituer leur propre appréciation à celle des instances de préavis consultées. S'agissant de l'abattage des trois arbres, le tribunal relèvera que l'OCAN a examiné cette question et a rendu un préavis favorable dont l'une des conditions est l'obligation de replanter des arbres pour un montant d'au moins CHF 16'200. Compte tenu de la retenue dont il doit faire preuve en présence de préavis d'instances spécialisées suivis par le département, le tribunal ne peut que constater que ce dernier n'a pas excédé son pouvoir d'appréciation. Quant à la surface en pleine terre, elle sera de 65.12 % après la réalisation du projet, ce qui est conforme à la loi, au regard de la pratique du département consacrée par la marche à suivre « densification de la zone 5 ». Il en découle que les époux B______ ne sauraient pas plus tirer argument de la réduction de la surface perméable de la parcelle. Ces questions ont au demeurant été analysées par les instances de préavis spécialisées, qui ont toutes rendu des préavis favorables. Ce grief est dès lors écarté.</w:t>
      </w:r>
    </w:p>
    <w:p>
      <w:r>
        <w:rPr>
          <w:b/>
        </w:rPr>
        <w:t>E. 38</w:t>
      </w:r>
    </w:p>
    <w:p>
      <w:r>
        <w:t>Dans un sixième grief, M. C______ soutient que le transfert de droits à bâtir des parcelles n° 4______ et n° 5______ à la parcelle n° 3______ ne pouvait s'effectuer sans l'accord de l'ensemble des copropriétaires.</w:t>
      </w:r>
    </w:p>
    <w:p>
      <w:r>
        <w:rPr>
          <w:b/>
        </w:rPr>
        <w:t>E. 39</w:t>
      </w:r>
    </w:p>
    <w:p>
      <w:r>
        <w:t>De façon générale, en droit suisse, même sans disposition expresse, les droits à bâtir d’une parcelle peuvent être transférés à une autre parcelle en main du propriétaire, l’essentiel étant que la surface voisine mise à contribution pour le calcul de la surface constructible ne puisse plus servir ultérieurement à un tel calcul, ce qui implique pratiquement qu’elle soit grevée d’une servitude de non bâtir au profit de la collectivité (ATF 109 Ia 188 consid. 3 ; arrêt du Tribunal fédéral 1C_430/2015 du 15 avril 2016 consid. 5.1). Cette solution se justifie car les objectifs de l’aménagement du territoire doivent s’analyser à l’échelle de la zone ou du quartier concerné et non seulement à l’échelle de la parcelle, de sorte que l’on admet que le coefficient d’utilisation ou d’occupation du sol puisse être transféré à certaines conditions sur une parcelle contiguë sise dans la même zone (arrêts du Tribunal fédéral 1C_389/2013 du 25 mars 2014 consid. 4.1).</w:t>
      </w:r>
    </w:p>
    <w:p>
      <w:r>
        <w:rPr>
          <w:b/>
        </w:rPr>
        <w:t>E. 40</w:t>
      </w:r>
    </w:p>
    <w:p>
      <w:r>
        <w:t>Il est ainsi admis dans le cadre de l'application de l'art. 59 LCI que la surface d'un terrain dont le constructeur est copropriétaire et qui sert principalement de voie</w:t>
      </w:r>
    </w:p>
    <w:p>
      <w:r>
        <w:t>- 24/31 - A/1764/2023 d'accès privée à ses propres biens-fonds puisse être prise en compte dans le calcul de l'indice d'utilisation d'un projet érigé sur une autre parcelle, selon la jurisprudence constante de la chambre de céans, confirmée par le Tribunal fédéral (arrêt du Tribunal fédéral 1P.72/2006 du 14 juillet 2006 consid. 3.3 ; ATA/1529/2019 du 15 octobre 2019 consid. 4 ; ATA/1335/2019 du 3 septembre 2019 ; ATA/849/2005 du 13 décembre 2005).</w:t>
      </w:r>
    </w:p>
    <w:p>
      <w:r>
        <w:rPr>
          <w:b/>
        </w:rPr>
        <w:t>E. 41</w:t>
      </w:r>
    </w:p>
    <w:p>
      <w:r>
        <w:t>La directive 021-v7 (p. 6) précise qu’il est admis qu'un propriétaire utilise la quote-part d'une dépendance dont il est copropriétaire, sans l'accord des autres copropriétaires, pour autant que la quote-part soit définie.</w:t>
      </w:r>
    </w:p>
    <w:p>
      <w:r>
        <w:rPr>
          <w:b/>
        </w:rPr>
        <w:t>E. 42</w:t>
      </w:r>
    </w:p>
    <w:p>
      <w:r>
        <w:t>Le Tribunal fédéral a déjà jugé que l'opposition d'un copropriétaire ne saurait empêcher l'application faite de l'art. 59 LCI (arrêts du Tribunal fédéral 1P.72/2006 du 14 juillet 2006 consid. 3.3 et 1A.105/2005 du 29 novembre 2005 consid. 5.3).</w:t>
      </w:r>
    </w:p>
    <w:p>
      <w:r>
        <w:rPr>
          <w:b/>
        </w:rPr>
        <w:t>E. 43</w:t>
      </w:r>
    </w:p>
    <w:p>
      <w:r>
        <w:t>En l'espèce, à teneur du registre foncier, les quotes-parts des parcelles de dépendance n° 4______ et n° 5______ sont expressément déterminées, les propriétaires de la parcelle n° 3______, soit les époux D______, détenant 1/13 de celles-ci. Dans la mesure où seules les surfaces des parcelles n° 4______ et n° 5______ liées à ces quotes-parts ont fait l'objet d'un transfert et sont concernées par la restriction des droits à bâtir, l'accord des autres copropriétaires n'était pas nécessaire. En tout état, une éventuelle violation des droits des copropriétaires relèverait du droit privé et une opposition de l'un d'eux n'est quoiqu’il en soit pas suffisante pour empêcher un transfert des droits à bâtir, conformément à la jurisprudence précitée. Les conditions du report des droits à bâtir ayant été respectées, le grief est écarté.</w:t>
      </w:r>
    </w:p>
    <w:p>
      <w:r>
        <w:rPr>
          <w:b/>
        </w:rPr>
        <w:t>E. 44</w:t>
      </w:r>
    </w:p>
    <w:p>
      <w:r>
        <w:t>Dans un septième grief, M. C______ estime que l'art. 59 LCI est violé, dans la mesure où les surfaces de la salle de gym et du dressing n'ont, à tort, pas été prises en compte dans le calcul des SBP.</w:t>
      </w:r>
    </w:p>
    <w:p>
      <w:r>
        <w:rPr>
          <w:b/>
        </w:rPr>
        <w:t>E. 45</w:t>
      </w:r>
    </w:p>
    <w:p>
      <w:r>
        <w:t>À teneur de l’art. 59 LCI, la surface de la construction, exprimée en m2 de plancher, ne doit pas excéder 25 % de la surface de la parcelle. Cette surface peut être portée à 27.50 % lorsque la construction est conforme à un standard de haute performance énergétique, respectivement à 30 % lorsque la construction est conforme à un standard de THPE, reconnue comme telle par le service compétent. Ces pourcentages sont également applicables aux constructions rénovées ou agrandies qui respectent l’un de ces standards (al. 1). Par surface de plancher prise en considération dans le calcul du rapport des surfaces, il faut entendre la SBP de la totalité de la construction hors sol (al. 2).</w:t>
      </w:r>
    </w:p>
    <w:p>
      <w:r>
        <w:rPr>
          <w:b/>
        </w:rPr>
        <w:t>E. 46</w:t>
      </w:r>
    </w:p>
    <w:p>
      <w:r>
        <w:t>L’art. 76 al. 1 LCI, relatif au sous-sol, précise que les locaux dont le plancher se trouve au-dessous du niveau général du sol adjacent ne peuvent servir à l’habitation.</w:t>
      </w:r>
    </w:p>
    <w:p>
      <w:r>
        <w:rPr>
          <w:b/>
        </w:rPr>
        <w:t>E. 47</w:t>
      </w:r>
    </w:p>
    <w:p>
      <w:r>
        <w:t>La notion de SBP relève du droit cantonal (arrêts du Tribunal fédéral 1C_225/ 2020 du 19 novembre 2020 consid. 2.1 ; 1C_55/2016 du 3 mars 2016 consid. 3.2).</w:t>
      </w:r>
    </w:p>
    <w:p>
      <w:r>
        <w:t>- 25/31 - A/1764/2023</w:t>
      </w:r>
    </w:p>
    <w:p>
      <w:r>
        <w:rPr>
          <w:b/>
        </w:rPr>
        <w:t>E. 48</w:t>
      </w:r>
    </w:p>
    <w:p>
      <w:r>
        <w:t>Afin de préciser la portée de l’art 59 LCI, le département a établi la directive 021-v7 qui donne, par le biais de schémas, des précisions sur la manière de calculer la SBP.</w:t>
      </w:r>
    </w:p>
    <w:p>
      <w:r>
        <w:rPr>
          <w:b/>
        </w:rPr>
        <w:t>E. 49</w:t>
      </w:r>
    </w:p>
    <w:p>
      <w:r>
        <w:t>La chambre administrative de la Cour de justice (ci-après : chambre administrative) a déjà jugé que lorsque l’ensemble de la surface de plancher d’une pièce est située en dessous de la surface du sol, celle-ci se trouve en sous-sol et n’est donc pas prise en considération dans le calcul de la SBP (ATA/25/2022 précité consid. 3g). Dans ce même arrêt, elle a précisé que ce n’est que lorsque la partie enterrée d’une construction est proportionnellement inférieure à celle qui se situe au-dessus du sol qu’elle doit être qualifiée de surface hors sol et, partant, comptabilisée comme SBP. Il a également été précisé qu’il n’est pas possible de fixer une seule valeur référence de dépassement du niveau naturel du sol, laquelle permettrait de retenir que la totalité du niveau se situerait hors-sol, mais qu’il convient d’analyser de manière spécifique chacune des pièces en cause (ATA/25/2022 précité consid. 4).</w:t>
      </w:r>
    </w:p>
    <w:p>
      <w:r>
        <w:rPr>
          <w:b/>
        </w:rPr>
        <w:t>E. 50</w:t>
      </w:r>
    </w:p>
    <w:p>
      <w:r>
        <w:t>La jurisprudence cantonale a modifié sa position quant à l’impact de l’affectation des niveaux d’un bâtiment situés en sous-sol. Auparavant, elle retenait que de tels niveaux, lorsqu’ils étaient affectés à l’habitation ou au travail, devaient être pris en compte dans le calcul de la SBP et que seuls des locaux communs dépourvus de rentabilité devaient être exclus du calcul (ATA/1000/2018 du 25 septembre 2018 consid. 5). Ensuite, sa position ayant été remise en cause par le Tribunal fédéral qui a considéré que l’art. 59 al. 2 LCI était clair et non équivoque en tant qu’il enjoignait de prendre en considération dans le calcul du rapport des surfaces la SBP de la totalité de la construction hors sol, sans égard aux surfaces en sous-sol et à leur habitabilité objective et subjective (arrêt 1C_225/2020 du 19 novembre 2020 consid. 2.4), elle a adopté la position du Tribunal fédéral (ATA/25/2022 précité consid. 3h). Il sied de relever que ce dernier avait précisé que le fait que les pièces du rez inférieur présentaient des caractéristiques compatibles avec l’habitation ne permettait pas encore de considérer qu’elles seraient utilisées à cette fin de manière contraire à l’art. 76 al. 1 LCI et de prendre en compte leur surface dans le calcul de la SBP (arrêt 1C_225/2020 du 19 novembre 2020 consid. 2.4). 51. En l'espèce, la jurisprudence mentionnée par M. C______ (ATA/1017/2014 du 16 décembre 2014) consacre l'ancienne pratique des tribunaux quant à l'affectation des pièces en sous-sol. Elle n'est plus applicable, compte tenu de la jurisprudence plus récente précitée. Il ne saurait dès lors en tirer un quelconque argument. Il ressort pour le surplus des plans que le plancher du dressing et de la salle de gym se situe intégralement en dessous du niveau du sol. L'affectation de ces pièces n'est de plus aucunement dédiée à l'habitation, les doutes à cet égard de M. C______ ne repose sur aucun fondement et relève du procès d'intention. Les surfaces de ces pièces n'avaient donc pas à être comptabilisées en tant que SBP.</w:t>
      </w:r>
    </w:p>
    <w:p>
      <w:r>
        <w:t>- 26/31 - A/1764/2023 Le tribunal relèvera enfin que la DAC, chargée de vérifier la conformité du projet aux normes de la LCI, l’a préavisé favorablement. Partant, le grief est écarté. 52. Dans un huitième grief, M. C______ soutient que la surface totale des CDPI pourrait excéder le maximum prévu par l'art. 3 al. 3 RCI, l'escalier extérieur menant à la piscine n'ayant pas été comptabilisé, contrairement à celui d'accès à la villa. 53. Aux termes de l’art. 3 al. 3 1ère phrase RCI, sont réputées CDPI, à la condition qu’elles ne servent ni à l’habitation, ni à l’exercice d’une activité commerciale, industrielle ou artisanale, les constructions dont la surface n’excède pas 50 m2 et qui s’inscrivent dans un gabarit limité par une ligne verticale dont la hauteur n’excède pas 2.50 m (let. a), une ligne oblique faisant avec l’horizontale partant du sommet de la ligne verticale un angle de 30° (let. b) et une ligne horizontale de faîtage située à 4.50 m du sol au maximum (let. c). Dans le cadre d’un projet de construction en ordre contigu ou sous forme d’habitat groupé et, afin d’améliorer l’insertion dans le site et pour autant qu’il n’en résulte pas de gêne pour le voisinage, le département peut autoriser, après consultation de la commission d’architecture, des CDPI groupées d’une surface de plus de 50 m2 au total (2ème phrase). Dans tous les cas, la surface totale des CDPI ne doit pas excéder 8 % de la surface de la parcelle et au maximum 100 m2 (3ème phrase) ; ces seuils constituent des conditions cumulatives (arrêt du Tribunal fédéral 1C_641/ 2012 du 30 avril 2013 consid. 3.3). 54. Les CDPI font l’objet d’une directive du département du 3 février 2014, modifiée d’abord le 10 mars 2017 sous le numéro 024-v5, puis le 9 mars 2021 sous le numéro 024-v7 (ci-après : la directive CDPI).rcva 55. De jurisprudence constante, la chambre administrative se fonde sur cette directive pour déterminer les surfaces à prendre en compte à ce titre (ATA/129/2023 du 7 février 2023 consid. 4c). La directive CDPI a pour but de préciser le type de construction considéré comme telles et la manière de calculer les surfaces, hauteur et de prendre en compte les avant-toits ainsi que les éléments en saillies du bâtiment principal tels que les couvert, balcon, terrasse, surplomb d’étage. Sont réputées CDPI, selon cette directive, « les garages, ateliers non professionnels, couverts à voitures, couverts de plaisance, couverts à bois, abris ou cabanes de jardin, pool-house » (cf. arrêt du Tribunal fédéral 1C_159/2020 du 5 octobre 2020 consid. 4.2). S’agissant des éléments en saillie, il découle des schémas de la directive CDPI y relatifs que la surface prise en compte diffère suivant qu’il existe un poteau ou un mur reliant l’élément en saillie au sol. Lorsqu’un poteau ou un mur soutient ledit élément, toute la profondeur de ce dernier est prise en compte. Dans le cas contraire, une déduction de 1.50 m est effectuée sur ladite mesure, à l’instar de ce qui est</w:t>
      </w:r>
    </w:p>
    <w:p>
      <w:r>
        <w:t>- 27/31 - A/1764/2023 prévu à l’art. 25 al. 1 RCI régissant les saillies pour le dépassement d’alignement maximal autorisé en ce qui concerne les avant-toits, les corniches (let. b), les balcons et tout autre avant-corps de la façade (let. d). 56. Dans le cadre de l’application de l’art. 3 al. 3 RCI, la jurisprudence a déjà été amenée à préciser que les surfaces déterminantes étaient celles de l’emprise au sol d’une construction (ATA/927/2021 du 7 septembre 2021 consid. 3b et les références citées). Un aménagement extérieur au sol, non couvert et sans émergence, ne constitue pas, à l’instar d’une pergola ou de surfaces aménagées au sol destinées au stationnement des véhicules, une CDPI (JTAPI/1383/2022 du 14 décembre 2022 consid. 33, repris par l’ATA/129/2023 du 7 février 2023 consid. 4f). 57. En l'espèce, il ressort des pièces que le projet querellé présente des CDPI pour une surface totale de 48.9 m2, cela en tenant compte de l'escalier d'accès à la villa mais pas de celui jouxtant la piscine. Ce dernier n'étant pas couvert, c'est à juste titre qu'il n'a pas été comptabilisé comme CDPI. Il s'agit en effet d'un aménagement extérieur qui, conformément à la jurisprudence précitée, ne constitue pas une CDPI. S'agissant de l'escalier d'accès à la villa, comme relevé par l'autorité intimée, il n'aurait également pas dû être comptabilisé comme CDPI au vu de sa couverture de moins de 1.50 m. La surface totale des CDPI du projet est ainsi, en réalité, inférieure à 48.9 m2. En tout état, la surface maximale de 100 m2 n'est pas dépassée, de sorte qu'aucune violation de l'art. 3 al. 3 RCI ne saurait être retenue. Le grief est ainsi écarté. 58. Dans un neuvième grief, M. C______ invoque une violation de l'art. 14 RCVA du fait que la construction empièterait sur le domaine vital de certains arbres. 59. La loi sur la protection des monuments, de la nature et des sites du 4 juin 1976 (LPMNS - L - 4 05) a notamment pour objectif d’assurer la sauvegarde de la nature, en ménageant l’espace vital nécessaire à la flore et à la faune, et en maintenant les milieux naturels (art. 1 let. c). Le Conseil d’État peut n’autoriser que sous condition ou même interdire l’abattage, l’élagage ou la destruction de certaines essences d’arbres, de cordons boisés, de boqueteaux, buissons ou de haies vives (art. 36 al. 2 let. a LPMNS). 60. En application de cette disposition, le Conseil d’État a adopté le RCVA, qui a pour but d’assurer la conservation, à savoir la protection, le maintien et le renouvellement, de la végétation formant les éléments majeurs du paysage (art. 1 RCVA). Ce règlement est applicable aux arbres situés en dehors de la forêt, telle que définie à l’art. 2 LForêts, ainsi qu’aux haies vives et boqueteaux présentant un intérêt biologique ou paysager (art. 2 al. 1 RCVA). À teneur de l’art. 14 RCVA, les propriétaires, mandataires, requérants, constructeurs ou autres usagers de terrains sont tenus de veiller avec la plus grande attention à la préservation des arbres, haies vives et boqueteaux existants (al. 1). Il leur incombe : a) de traiter les</w:t>
      </w:r>
    </w:p>
    <w:p>
      <w:r>
        <w:t>- 28/31 - A/1764/2023 arbres malades ou dépérissants ; b) de prendre, notamment lors de travaux, toutes précautions utiles pour assurer la survie des arbres, haies vives et boqueteaux, en se conformant aux directives édictées par le département ; c) d’appliquer les mesures arrêtées par le département destinées à prévenir et réparer les dégâts causés par des organismes nuisibles particulièrement dangereux (al. 2). 61. La « directive concernant les mesures à prendre lors de travaux à proximité des arbres » (version 1.0, août 2008) édictée par le département sur la base de l’art. 16 RCVA, contraignante pour tous les propriétaires, mandataires, requérants, entrepreneurs ou autres usagers de terrain effectuant des travaux dans le domaine de l’arbre, a pour objectif de définir la notion d’espace vital d’un arbre et de préciser les mesures qui doivent être prises lors de travaux pour respecter la végétation conservée (ch. 1). Selon son ch. 3 (« conditions générales de protection de l’arbre »), dans le domaine de l’arbre, l’utilisation et le stockage de machines, de produits ou de matériaux pouvant être nuisibles à l’arbre (huiles, produits chimiques, résidus de ciment, etc.) sont à éviter. Dans le domaine vital, outre les mesures précédentes, les dispositions suivantes seront respectées : aucune modification du terrain naturel ; pose de protections physiques constituées de panneaux d’une hauteur minimum de 2 m fixés sur des montants ancrés solidement (les chabauris ne sont pas acceptés) ; la position exacte des protections est définie en accord avec le service ; toute pénétration est interdite (piétinement, dépôt de matériel ou circulation) à l’intérieur du périmètre délimité pendant toute la durée du chantier ; aucune modification ou ouverture temporaire de cet espace ne peut être envisagée sans l’accord du service. Le domaine vital de l’arbre (qui « correspond à la zone d’extension des racines vitales de l’arbre ») est constitué d’un périmètre équivalant au rayon de la couronne + 1m, de part et d’autre du tronc, et à la hauteur de l’arbre + 1m, tandis que le domaine de l’arbre (« l’espace nécessaire au développement optimal de celui-ci ») représente le double du rayon de la couronne, de part et d’autre du tronc, et à la hauteur de l’arbre + 1m (ch. 2). En principe, aucune intervention n’est autorisée à l’intérieur du domaine vital de l’arbre. « Une dérogation à ce principe n’est accordée qu’en cas d’impératif majeur, en fonction de l’arbre et du type de construction projetée, et elle est toujours accompagnée de mesures propres à limiter l’impact de l’intervention (dalle suspendue par exemple) » (ch. 2). « Le plan et la description des mesures prescrites font partie intégrante des autorisations de construire, d’abattage et d’élagage délivrées pour la réalisation projetée. Ces documents devront être élaborés en collaboration avec un arboriste- conseil. Ce dernier devra suivre les mesures d’accompagnement validées par le service et sera responsable de la qualité d’exécution des travaux. Dans tous les cas, la responsabilité des mandataires et entreprises chargés de l’exécution des travaux reste engagée pour tout dommage ou dépérissement de l’arbre suite à une mauvaise exécution des travaux dans le domaine vital » (ch. 2).</w:t>
      </w:r>
    </w:p>
    <w:p>
      <w:r>
        <w:t>- 29/31 - A/1764/2023 62. En l'espèce, l'OCAN a examiné le projet à plusieurs reprises avant de rendre un préavis favorable le 15 février 2023. Il ressort de ce préavis qu'il a octroyé une dérogation pour les éléments de la construction intervenant dans le domaine vital des arbres. Il a en outre fixé comme conditions que le PAP soit intégralement respecté, que toutes les précautions nécessaires soient prises pour protéger les arbres maintenus à proximité des travaux ou encore qu'un arboriste soit mandaté pour le suivi des travaux à proximité des arbres concernés. Dans ces circonstances, rien ne permet de retenir que le département aurait abusé de son pouvoir d’appréciation en suivant ce préavis, étant rappelé que la prise de mesures a été exigée afin de limiter l’impact de l’intervention envisagée, comme la directive précitée le requiert. Enfin, aucun élément ne laisse à penser que les mesures préconisées par l’instance spécialisée ne seraient pas aptes à assurer la protection des végétaux concernés. Partant, le grief est écarté. 63. Dans un dernier grief, M. C______ soutient que l'art. 5 RPSFP aurait été violé, le projet ne prévoyant pas un nombre suffisant de places de stationnement pour les voitures et les vélos. 64. L'art. 5 al. 1 RPSFP fixe des ratios de stationnement pour les voitures selon les secteurs concernés. Selon l'art. 5 al. 3 RPSFP toutefois, dans tous les périmètres, le nombre minimum exigé de places pour les voitures est de deux pour les maisons individuelles ou contiguës dont la SBP excède 125 m2. 65. Pour les vélos dans tous les secteurs, trois places pour 100 m2 de SBP doivent être prévues. Les places pour vélos doivent être facilement accessibles, abritées et équipées contre le vol, avec si possible un tiers de l'offre de stationnement situé au rez-de-chaussée ou à proximité immédiate des allées d'immeubles pour répondre à un usage quotidien. En fonction des projets, une partie du stationnement vélos peut se réaliser sur l'espace public. En termes d'affectation, 30 % de l'offre doit être accessible aux personnes en visite des logements et 10 à 20 % pour des vélos spéciaux. L'emprise prévue pour la réalisation d'une place standard doit être de 2 m2, accès compris (art. 5 al. 8 RPSFP). 66. En l'espèce, le projet prévoit trois places de parking pour une villa individuelle dont la SBP excède 125 m2, soit plus que le minimum exigé par l'art. 5 al. 3 RPSFP. S'agissant des places pour les vélos, le projet en prévoit cinq dans le local à vélo, ce qui apparait largement suffisant pour la maison individuelle projetée. L’on peut au demeurant se demander, au regard de la formulation de l’art. 5 al. 8 RFSFP, si ce dernier s’applique à ce type de logement. Sa stricte application, dans le cas d’espèce, reviendrait en effet à exiger la réalisation de douze places vélos - compte- tenu des SBP de la villa -, ce qui fait peu de sens. Cette question souffrira de rester ouverte dès lors qu’en tout état, la parcelle des intimés, respectivement la villa projetée, sont suffisamment grandes pour accueillir d’éventuels vélos</w:t>
      </w:r>
    </w:p>
    <w:p>
      <w:r>
        <w:t>- 30/31 - A/1764/2023 supplémentaires. En fonction des projets, une partie du stationnement vélos peut enfin également se réaliser sur l'espace public. L'OCT, soit l'instance spécialisée en la matière, a au surplus rendu un préavis favorable et aucune raison ne justifie de s'en écarter. Dès lors, ce grief ne peut pas plus être admis. 67. Entièrement mal fondé, les recours sont rejetés. 68. En application des art. 87 al. 1 LPA et 1 et 2 du règlement sur les frais, émoluments et indemnités en procédure administrative du 30 juillet 1986 (RFPA - E 5 10.03), les recourants, qui succombent, sont condamnés au paiement d’un émolument s'élevant à CHF 4’000.- répartis comme suit : CHF 2'000.- à la charge des époux B______ et CHF 2'000.- à celle de M. C______ ; il est partiellement couvert par les avances de frais versées à la suite du dépôt des recours. 69. Vu l'issue du litige, une indemnité de procédure de CHF 4’000.-, soit CHF 2'000.- à la charge des époux B______ et CHF 2'000.- à la charge de M. C______, sera allouée aux époux D______ (art. 87 al. 2 à 4 LPA et 6 RFPA).</w:t>
      </w:r>
    </w:p>
    <w:p>
      <w:r>
        <w:t>- 31/31 - A/1764/2023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