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JTAPI/250/2025 vom 12. September 2019</w:t>
      </w:r>
    </w:p>
    <w:p>
      <w:r>
        <w:t>GE Cour de justice, 2019-09-12, FR</w:t>
      </w:r>
    </w:p>
    <w:p>
      <w:r>
        <w:rPr>
          <w:b/>
        </w:rPr>
        <w:t xml:space="preserve">Quelle: </w:t>
      </w:r>
      <w:r>
        <w:t>https://mcp.opencaselaw.ch/entscheid/ge_gerichte_JTAPI_250_2025</w:t>
      </w:r>
    </w:p>
    <w:p>
      <w:r>
        <w:t>FR: GE_GERICHTE JTAPI/250/2025 du 12 septembre 2019</w:t>
      </w:r>
    </w:p>
    <w:p>
      <w:r>
        <w:t>IT: GE_GERICHTE JTAPI/250/2025 del 12 settembre 2019</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de la loi d'application de la loi fédérale sur les étrangers du 16 juin 1988 - LaLEtr - F 2 10).</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w:t>
      </w:r>
    </w:p>
    <w:p>
      <w:r>
        <w:rPr>
          <w:b/>
        </w:rPr>
        <w:t>E. 2.3</w:t>
      </w:r>
    </w:p>
    <w:p>
      <w:r>
        <w:t>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2.3.1</w:t>
      </w:r>
    </w:p>
    <w:p>
      <w:r>
        <w:t>; arrêts du Tribunal fédéral 2C_26/2013 du 29 janvier 2013 consid. 3.1 ; 2C_420/2011 du 9 juin 2011 consid. 4.1 ; 2C_974/2010 du 11 janvier 2011 consid.</w:t>
      </w:r>
    </w:p>
    <w:p>
      <w:r>
        <w:rPr>
          <w:b/>
        </w:rPr>
        <w:t>E. 2.5</w:t>
      </w:r>
    </w:p>
    <w:p>
      <w:r>
        <w:t>ad art. 76a, p. 808).</w:t>
      </w:r>
    </w:p>
    <w:p>
      <w:r>
        <w:rPr>
          <w:b/>
        </w:rPr>
        <w:t>E. 3</w:t>
      </w:r>
    </w:p>
    <w:p>
      <w:r>
        <w:t>La LaLEtr, qui n'a pas été mise à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 3 septembre 2021; JTAPI/1004/2020 du 19 novembre 2020 confirmé par ATA/1252/2020 du 8 décembre 2020 ; JTAPI/803/2019 du 6 septembre 2019).</w:t>
      </w:r>
    </w:p>
    <w:p>
      <w:r>
        <w:rPr>
          <w:b/>
        </w:rPr>
        <w:t>E. 3.1</w:t>
      </w:r>
    </w:p>
    <w:p>
      <w:r>
        <w:t>; 2C_756/2009 du 15 décembre 2009 consid. 2.1).</w:t>
      </w:r>
    </w:p>
    <w:p>
      <w:r>
        <w:rPr>
          <w:b/>
        </w:rPr>
        <w:t>E. 4</w:t>
      </w:r>
    </w:p>
    <w:p>
      <w:r>
        <w:t>En l’espèce, M. A______ a, par courrier du 6 mars 2025, sollicité le contrôle par le tribunal de la légalité et de l’adéquation de sa détention.</w:t>
      </w:r>
    </w:p>
    <w:p>
      <w:r>
        <w:rPr>
          <w:b/>
        </w:rPr>
        <w:t>E. 5</w:t>
      </w:r>
    </w:p>
    <w:p>
      <w:r>
        <w:t>Statuant ce jour, il respecte les délais légaux (art. 80 al. 2 LEI)</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w:t>
      </w:r>
    </w:p>
    <w:p>
      <w:r>
        <w:t>- 5/8 - A/787/2025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Selon l’art. 28 ch.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9</w:t>
      </w:r>
    </w:p>
    <w:p>
      <w:r>
        <w:t>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 Selon l'art. 76a al. 2 LEI, les éléments concrets font craindre que l'étranger entende se soustraire à l'exécution du renvoi si son comportement en Suisse ou à l’étranger permet de conclure qu’il refuse d’obtempérer aux instructions des autorités (let. b) ou s’il quitte la région qui lui est assignée ou pénètre dans une zone qui lui est interdite en vertu de l’art. 74 (let. d). Les motifs énumérés, de manière exhaustive, à l'art. 76a al. 2 LEI correspondent en principe à ceux déjà retenus aux art. 75 et 76 LEI (Gregor CHATTON/Laurent MERZ in Code annoté de droit des migrations, volume II : loi sur les étrangers, n°</w:t>
      </w:r>
    </w:p>
    <w:p>
      <w:r>
        <w:rPr>
          <w:b/>
        </w:rPr>
        <w:t>E. 10</w:t>
      </w:r>
    </w:p>
    <w:p>
      <w:r>
        <w:t>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comprenant l’établissement de la demande de reprise en charge adressée à un autre État Dublin, le délai d’attente de la réponse à la demande ou de son acceptation tacite, la rédaction de la décision et sa notification (art. 76a al. 3 let. a LEI).</w:t>
      </w:r>
    </w:p>
    <w:p>
      <w:r>
        <w:t>- 6/8 - A/787/2025</w:t>
      </w:r>
    </w:p>
    <w:p>
      <w:r>
        <w:rPr>
          <w:b/>
        </w:rPr>
        <w:t>E. 11</w:t>
      </w:r>
    </w:p>
    <w:p>
      <w:r>
        <w:t>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w:t>
      </w:r>
    </w:p>
    <w:p>
      <w:r>
        <w:rPr>
          <w:b/>
        </w:rPr>
        <w:t>E. 12</w:t>
      </w:r>
    </w:p>
    <w:p>
      <w:r>
        <w:t>Il convient dès lors d'examiner, en fonction des circonstances concrètes, si la détention en vue d'assurer l'exécution d'un renvoi au sens de l'art. 5 par. 1 let. f CEDH est adaptée et nécessaire (ATF 135 II 105 consid. 2.2.1 ; 134 I 92 consid.</w:t>
      </w:r>
    </w:p>
    <w:p>
      <w:r>
        <w:rPr>
          <w:b/>
        </w:rPr>
        <w:t>E. 13</w:t>
      </w:r>
    </w:p>
    <w:p>
      <w:r>
        <w:t>En l'occurrence, M. A______ a été condamné à cinq reprises, entre le 12 septembre 2023 et le 11 novembre 2024, notamment pour vol soit un crime. II fait par ailleurs l’objet d’une expulsion judiciaire prononcée pour une durée de 5 ans. Il ne ressort pas du dossier qu’il aurait de quelconques attaches à Genève ni de lieu de résidence. Selon ses déclarations à la police, il était venu clandestinement en France, et tous ces documents d’identité étaient restés en Algérie. L’assurance de son départ de Suisse répond par ailleurs à un intérêt public certain et le risque qu’il se soustraie à son renvoi en cas de remise en liberté ne peut être écarté, étant souligné qu'à teneur du dossier des autorités, il aurait déposé trois demandes d’asile,</w:t>
      </w:r>
    </w:p>
    <w:p>
      <w:r>
        <w:t>- 7/8 - A/787/2025 une en Allemagne, une aux Pays-Bas et une en Suisse et qu’à ce jour, les autorités ne savent pas vers quel pays il sera renvoyé. Les conditions pour une détention fondée sur l’art. 76a al. 2 let. h LEI sont dès lors remplies. Par ailleurs, la détention ordonnée respecte le principe de proportionnalité. Aucune autre mesure moins incisive ne permet de s’assurer de la présence de l’intéressé au moment où son renvoi devra être exécuté et, notamment pas, une simple remise en liberté. À noter que ce dernier n’ayant ni attaches ni lieu de résidence à Genève, il n'est pas possible de l'assigner dans une résidence qu'il n'a pas. Enfin, la durée de la détention décidée par le commissaire de police respecte le cadre légal fixé par l'art. 76a al. 3 LEI et est adéquate pour assurer l'exécution du renvoi, étant relevé que les démarches en vue de la réadmission de M. A______ ont immédiatement été initiées et sont toujours en cours. Concernant par ailleurs sa situation médicale, il ressort des informations transmises par le commissaire de police que des soins tant somatiques que psychiatriques sont accessibles aux détenus de l’établissement FAVRA, soit par l’intermédiaire d’une demande du détenu soit par le personnel médical lui-même. En cas d’urgence, il peut être fait appel au 144. Si l’on peut comprendre que l’intéressé puisse faire face à du stress et de l’angoisse, il n’en demeure pas moins qu’il a accès aux médicaments dont il a besoin (Quétiapine et Temesta) et qu’il peut solliciter en tout temps la venue d’un psychiatre s’il l’estime nécessaire, n’ayant pas fait valoir que cet accès lui aurait été refusé.</w:t>
      </w:r>
    </w:p>
    <w:p>
      <w:r>
        <w:rPr>
          <w:b/>
        </w:rPr>
        <w:t>E. 14</w:t>
      </w:r>
    </w:p>
    <w:p>
      <w:r>
        <w:t>Eu égard à l'ensemble des circonstances, il y a lieu de confirmer l'ordre de mise en détention administrative pris pour une durée de sept semaines.</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A/787/2025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